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3D" w:rsidRDefault="0057723D" w:rsidP="0057723D">
      <w:pPr>
        <w:spacing w:after="0" w:line="240" w:lineRule="auto"/>
        <w:rPr>
          <w:noProof/>
          <w:sz w:val="24"/>
          <w:szCs w:val="24"/>
        </w:rPr>
      </w:pPr>
    </w:p>
    <w:p w:rsidR="0057723D" w:rsidRPr="00335DFF" w:rsidRDefault="0057723D" w:rsidP="0057723D">
      <w:pPr>
        <w:spacing w:after="0" w:line="240" w:lineRule="auto"/>
        <w:jc w:val="center"/>
        <w:rPr>
          <w:rFonts w:ascii="Bodoni MT Black" w:hAnsi="Bodoni MT Black"/>
          <w:bCs/>
          <w:color w:val="9F3A29"/>
          <w:sz w:val="32"/>
          <w:szCs w:val="32"/>
          <w:lang w:val="en-GB"/>
        </w:rPr>
      </w:pPr>
      <w:r w:rsidRPr="00335DFF">
        <w:rPr>
          <w:rFonts w:ascii="Bodoni MT Black" w:hAnsi="Bodoni MT Black"/>
          <w:bCs/>
          <w:color w:val="9F3A29"/>
          <w:sz w:val="32"/>
          <w:szCs w:val="32"/>
          <w:lang w:val="en-GB"/>
        </w:rPr>
        <w:t>Financial Economic Rese</w:t>
      </w:r>
      <w:r>
        <w:rPr>
          <w:rFonts w:ascii="Bodoni MT Black" w:hAnsi="Bodoni MT Black"/>
          <w:bCs/>
          <w:color w:val="9F3A29"/>
          <w:sz w:val="32"/>
          <w:szCs w:val="32"/>
          <w:lang w:val="en-GB"/>
        </w:rPr>
        <w:t>arch Centre Working P</w:t>
      </w:r>
      <w:r w:rsidRPr="00335DFF">
        <w:rPr>
          <w:rFonts w:ascii="Bodoni MT Black" w:hAnsi="Bodoni MT Black"/>
          <w:bCs/>
          <w:color w:val="9F3A29"/>
          <w:sz w:val="32"/>
          <w:szCs w:val="32"/>
          <w:lang w:val="en-GB"/>
        </w:rPr>
        <w:t>aper</w:t>
      </w:r>
      <w:r>
        <w:rPr>
          <w:rFonts w:ascii="Bodoni MT Black" w:hAnsi="Bodoni MT Black"/>
          <w:bCs/>
          <w:color w:val="9F3A29"/>
          <w:sz w:val="32"/>
          <w:szCs w:val="32"/>
          <w:lang w:val="en-GB"/>
        </w:rPr>
        <w:t xml:space="preserve"> Series</w:t>
      </w:r>
    </w:p>
    <w:p w:rsidR="0057723D" w:rsidRPr="00335DFF" w:rsidRDefault="0057723D" w:rsidP="0057723D">
      <w:pPr>
        <w:spacing w:after="0" w:line="240" w:lineRule="auto"/>
        <w:jc w:val="center"/>
        <w:rPr>
          <w:rFonts w:ascii="Bodoni MT Black" w:hAnsi="Bodoni MT Black"/>
          <w:bCs/>
          <w:color w:val="000000"/>
          <w:sz w:val="28"/>
          <w:szCs w:val="28"/>
          <w:lang w:val="en-GB"/>
        </w:rPr>
      </w:pPr>
    </w:p>
    <w:p w:rsidR="00F25462" w:rsidRDefault="00F25462" w:rsidP="00F25462">
      <w:pPr>
        <w:jc w:val="center"/>
        <w:rPr>
          <w:rFonts w:ascii="Times New Roman" w:hAnsi="Times New Roman"/>
          <w:color w:val="000000"/>
          <w:sz w:val="24"/>
          <w:szCs w:val="24"/>
        </w:rPr>
      </w:pPr>
      <w:r>
        <w:rPr>
          <w:noProof/>
          <w:sz w:val="24"/>
          <w:szCs w:val="24"/>
          <w:lang w:eastAsia="en-US"/>
        </w:rPr>
        <w:drawing>
          <wp:inline distT="0" distB="0" distL="0" distR="0" wp14:anchorId="6CDE2DB5" wp14:editId="228C5BD0">
            <wp:extent cx="3590925" cy="1304925"/>
            <wp:effectExtent l="0" t="0" r="9525" b="0"/>
            <wp:docPr id="4" name="Picture 4" descr="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rafiqa87\Desktop\up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rFonts w:ascii="Times New Roman" w:hAnsi="Times New Roman"/>
          <w:b/>
          <w:noProof/>
          <w:sz w:val="24"/>
          <w:szCs w:val="24"/>
          <w:lang w:eastAsia="en-US"/>
        </w:rPr>
        <w:drawing>
          <wp:inline distT="0" distB="0" distL="0" distR="0" wp14:anchorId="22387EC5" wp14:editId="6C642182">
            <wp:extent cx="1238250" cy="1190625"/>
            <wp:effectExtent l="0" t="0" r="0" b="9525"/>
            <wp:docPr id="1" name="Picture 1" descr="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rafiqa87\Desktop\AACSB.j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57723D" w:rsidRDefault="0057723D" w:rsidP="00F25462">
      <w:pPr>
        <w:rPr>
          <w:rFonts w:ascii="Times New Roman" w:hAnsi="Times New Roman"/>
          <w:b/>
          <w:sz w:val="28"/>
          <w:szCs w:val="28"/>
        </w:rPr>
      </w:pPr>
    </w:p>
    <w:p w:rsidR="0057723D" w:rsidRPr="0057723D" w:rsidRDefault="0057723D" w:rsidP="0057723D">
      <w:pPr>
        <w:jc w:val="center"/>
        <w:rPr>
          <w:rFonts w:ascii="Times New Roman" w:hAnsi="Times New Roman" w:cs="Times New Roman"/>
          <w:b/>
          <w:sz w:val="28"/>
          <w:szCs w:val="28"/>
        </w:rPr>
      </w:pPr>
      <w:r w:rsidRPr="0057723D">
        <w:rPr>
          <w:rFonts w:ascii="Times New Roman" w:hAnsi="Times New Roman" w:cs="Times New Roman"/>
          <w:b/>
          <w:sz w:val="28"/>
          <w:szCs w:val="28"/>
        </w:rPr>
        <w:t>The Impact of Financial Ratios and Risk Factors toward Corporate Cash Holdings Decision</w:t>
      </w:r>
    </w:p>
    <w:p w:rsidR="0057723D" w:rsidRDefault="0057723D" w:rsidP="0057723D"/>
    <w:p w:rsidR="0057723D" w:rsidRDefault="0057723D" w:rsidP="0057723D">
      <w:pPr>
        <w:spacing w:after="0" w:line="240" w:lineRule="auto"/>
        <w:jc w:val="center"/>
        <w:rPr>
          <w:rFonts w:ascii="Times New Roman" w:eastAsia="Times New Roman" w:hAnsi="Times New Roman"/>
          <w:sz w:val="24"/>
          <w:szCs w:val="24"/>
          <w:lang w:val="en-AU"/>
        </w:rPr>
      </w:pPr>
      <w:r>
        <w:rPr>
          <w:rFonts w:ascii="Times New Roman" w:eastAsia="Times New Roman" w:hAnsi="Times New Roman"/>
          <w:sz w:val="24"/>
          <w:szCs w:val="24"/>
          <w:lang w:val="en-AU"/>
        </w:rPr>
        <w:t>Soh Wei Ni</w:t>
      </w:r>
    </w:p>
    <w:p w:rsidR="0057723D" w:rsidRDefault="0057723D" w:rsidP="0057723D">
      <w:pPr>
        <w:spacing w:after="0" w:line="240" w:lineRule="auto"/>
        <w:ind w:left="3600"/>
        <w:jc w:val="center"/>
        <w:rPr>
          <w:rFonts w:ascii="Times New Roman" w:eastAsia="Times New Roman" w:hAnsi="Times New Roman"/>
          <w:sz w:val="24"/>
          <w:szCs w:val="24"/>
          <w:lang w:val="en-AU"/>
        </w:rPr>
      </w:pPr>
    </w:p>
    <w:p w:rsidR="0057723D" w:rsidRDefault="0057723D" w:rsidP="0057723D">
      <w:pPr>
        <w:spacing w:after="0" w:line="240" w:lineRule="auto"/>
        <w:jc w:val="center"/>
        <w:rPr>
          <w:rFonts w:ascii="Times New Roman" w:eastAsia="Times New Roman" w:hAnsi="Times New Roman"/>
          <w:sz w:val="24"/>
          <w:szCs w:val="24"/>
          <w:lang w:val="en-GB"/>
        </w:rPr>
      </w:pPr>
      <w:proofErr w:type="spellStart"/>
      <w:r w:rsidRPr="001073BD">
        <w:rPr>
          <w:rFonts w:ascii="Times New Roman" w:eastAsia="Times New Roman" w:hAnsi="Times New Roman"/>
          <w:sz w:val="24"/>
          <w:szCs w:val="24"/>
          <w:lang w:val="en-GB"/>
        </w:rPr>
        <w:t>Annuar</w:t>
      </w:r>
      <w:proofErr w:type="spellEnd"/>
      <w:r w:rsidRPr="001073BD">
        <w:rPr>
          <w:rFonts w:ascii="Times New Roman" w:eastAsia="Times New Roman" w:hAnsi="Times New Roman"/>
          <w:sz w:val="24"/>
          <w:szCs w:val="24"/>
          <w:lang w:val="en-GB"/>
        </w:rPr>
        <w:t xml:space="preserve"> Md. Nassir</w:t>
      </w:r>
    </w:p>
    <w:p w:rsidR="0057723D" w:rsidRDefault="0057723D" w:rsidP="0057723D">
      <w:pPr>
        <w:spacing w:after="0" w:line="240" w:lineRule="auto"/>
        <w:ind w:left="3600"/>
        <w:rPr>
          <w:rFonts w:ascii="Times New Roman" w:eastAsia="Times New Roman" w:hAnsi="Times New Roman"/>
          <w:sz w:val="24"/>
          <w:szCs w:val="24"/>
          <w:lang w:val="en-GB"/>
        </w:rPr>
      </w:pPr>
    </w:p>
    <w:p w:rsidR="0057723D" w:rsidRDefault="0057723D" w:rsidP="0057723D">
      <w:pPr>
        <w:spacing w:after="0" w:line="240" w:lineRule="auto"/>
        <w:ind w:left="3600"/>
        <w:rPr>
          <w:rFonts w:ascii="Times New Roman" w:eastAsia="Times New Roman" w:hAnsi="Times New Roman"/>
          <w:sz w:val="24"/>
          <w:szCs w:val="24"/>
          <w:lang w:val="en-GB"/>
        </w:rPr>
      </w:pPr>
    </w:p>
    <w:p w:rsidR="0057723D" w:rsidRDefault="0057723D" w:rsidP="0057723D">
      <w:pPr>
        <w:spacing w:after="0" w:line="240" w:lineRule="auto"/>
        <w:ind w:left="3600"/>
        <w:rPr>
          <w:rFonts w:ascii="Times New Roman" w:eastAsia="Times New Roman" w:hAnsi="Times New Roman"/>
          <w:sz w:val="24"/>
          <w:szCs w:val="24"/>
          <w:lang w:val="en-GB"/>
        </w:rPr>
      </w:pPr>
    </w:p>
    <w:p w:rsidR="0057723D" w:rsidRDefault="0057723D" w:rsidP="0057723D">
      <w:pPr>
        <w:spacing w:after="0" w:line="240" w:lineRule="auto"/>
        <w:ind w:left="360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Working Paper 01</w:t>
      </w:r>
    </w:p>
    <w:p w:rsidR="0057723D" w:rsidRDefault="0057723D" w:rsidP="0057723D">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r w:rsidRPr="007F7329">
        <w:rPr>
          <w:rFonts w:ascii="Times New Roman" w:eastAsia="Times New Roman" w:hAnsi="Times New Roman"/>
          <w:sz w:val="24"/>
          <w:szCs w:val="24"/>
          <w:lang w:val="en-GB"/>
        </w:rPr>
        <w:t xml:space="preserve"> </w:t>
      </w:r>
      <w:r w:rsidR="00A27207" w:rsidRPr="00A27207">
        <w:rPr>
          <w:rFonts w:ascii="Times New Roman" w:eastAsia="Times New Roman" w:hAnsi="Times New Roman"/>
          <w:sz w:val="24"/>
          <w:szCs w:val="24"/>
          <w:lang w:val="en-GB"/>
        </w:rPr>
        <w:t>http://research.upm.edu.my/FERC</w:t>
      </w:r>
    </w:p>
    <w:p w:rsidR="0057723D" w:rsidRDefault="0057723D" w:rsidP="0057723D">
      <w:pPr>
        <w:spacing w:after="0" w:line="240" w:lineRule="auto"/>
        <w:jc w:val="center"/>
        <w:rPr>
          <w:rFonts w:ascii="Bodoni MT Black" w:hAnsi="Bodoni MT Black"/>
          <w:b/>
          <w:bCs/>
          <w:sz w:val="36"/>
          <w:szCs w:val="36"/>
          <w:lang w:val="en-GB"/>
        </w:rPr>
      </w:pPr>
      <w:bookmarkStart w:id="0" w:name="_GoBack"/>
      <w:bookmarkEnd w:id="0"/>
    </w:p>
    <w:p w:rsidR="0057723D" w:rsidRDefault="0057723D" w:rsidP="0057723D">
      <w:pPr>
        <w:spacing w:after="0" w:line="240" w:lineRule="auto"/>
        <w:jc w:val="center"/>
        <w:rPr>
          <w:rFonts w:ascii="Bodoni MT Black" w:hAnsi="Bodoni MT Black"/>
          <w:bCs/>
          <w:sz w:val="24"/>
          <w:szCs w:val="24"/>
          <w:lang w:val="en-GB"/>
        </w:rPr>
      </w:pPr>
    </w:p>
    <w:p w:rsidR="0057723D" w:rsidRPr="001073BD" w:rsidRDefault="0057723D" w:rsidP="0057723D">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Faculty of Economics and Management</w:t>
      </w:r>
    </w:p>
    <w:p w:rsidR="0057723D" w:rsidRDefault="0057723D" w:rsidP="0057723D">
      <w:pPr>
        <w:spacing w:after="0" w:line="240" w:lineRule="auto"/>
        <w:jc w:val="center"/>
        <w:rPr>
          <w:rFonts w:ascii="Times New Roman" w:eastAsia="Times New Roman" w:hAnsi="Times New Roman"/>
          <w:sz w:val="24"/>
          <w:szCs w:val="24"/>
          <w:lang w:val="en-AU"/>
        </w:rPr>
      </w:pPr>
      <w:r w:rsidRPr="001073BD">
        <w:rPr>
          <w:rFonts w:ascii="Times New Roman" w:eastAsia="Times New Roman" w:hAnsi="Times New Roman"/>
          <w:sz w:val="24"/>
          <w:szCs w:val="24"/>
          <w:lang w:val="en-AU"/>
        </w:rPr>
        <w:t>University Putra Malaysia</w:t>
      </w:r>
    </w:p>
    <w:p w:rsidR="0057723D" w:rsidRDefault="0057723D" w:rsidP="0057723D">
      <w:pPr>
        <w:spacing w:after="0" w:line="240" w:lineRule="auto"/>
        <w:jc w:val="center"/>
        <w:rPr>
          <w:rFonts w:ascii="Times New Roman" w:eastAsia="Times New Roman" w:hAnsi="Times New Roman"/>
          <w:sz w:val="24"/>
          <w:szCs w:val="24"/>
          <w:lang w:val="en-AU"/>
        </w:rPr>
      </w:pPr>
      <w:r>
        <w:rPr>
          <w:rFonts w:ascii="Times New Roman" w:eastAsia="Times New Roman" w:hAnsi="Times New Roman"/>
          <w:sz w:val="24"/>
          <w:szCs w:val="24"/>
          <w:lang w:val="en-AU"/>
        </w:rPr>
        <w:t xml:space="preserve">43400 UPM </w:t>
      </w:r>
      <w:proofErr w:type="spellStart"/>
      <w:r>
        <w:rPr>
          <w:rFonts w:ascii="Times New Roman" w:eastAsia="Times New Roman" w:hAnsi="Times New Roman"/>
          <w:sz w:val="24"/>
          <w:szCs w:val="24"/>
          <w:lang w:val="en-AU"/>
        </w:rPr>
        <w:t>Serdang</w:t>
      </w:r>
      <w:proofErr w:type="spellEnd"/>
      <w:r>
        <w:rPr>
          <w:rFonts w:ascii="Times New Roman" w:eastAsia="Times New Roman" w:hAnsi="Times New Roman"/>
          <w:sz w:val="24"/>
          <w:szCs w:val="24"/>
          <w:lang w:val="en-AU"/>
        </w:rPr>
        <w:t>, Selangor</w:t>
      </w:r>
    </w:p>
    <w:p w:rsidR="0057723D" w:rsidRDefault="0057723D" w:rsidP="0057723D">
      <w:pPr>
        <w:spacing w:after="0" w:line="240" w:lineRule="auto"/>
        <w:jc w:val="center"/>
        <w:rPr>
          <w:rFonts w:ascii="Times New Roman" w:eastAsia="Times New Roman" w:hAnsi="Times New Roman"/>
          <w:sz w:val="24"/>
          <w:szCs w:val="24"/>
          <w:lang w:val="en-AU"/>
        </w:rPr>
      </w:pPr>
      <w:r>
        <w:rPr>
          <w:rFonts w:ascii="Times New Roman" w:eastAsia="Times New Roman" w:hAnsi="Times New Roman"/>
          <w:sz w:val="24"/>
          <w:szCs w:val="24"/>
          <w:lang w:val="en-AU"/>
        </w:rPr>
        <w:t>Malaysia</w:t>
      </w:r>
    </w:p>
    <w:p w:rsidR="0057723D" w:rsidRPr="007F7329" w:rsidRDefault="0057723D" w:rsidP="0057723D">
      <w:pPr>
        <w:spacing w:after="0" w:line="240" w:lineRule="auto"/>
        <w:ind w:left="3600"/>
        <w:jc w:val="center"/>
        <w:rPr>
          <w:rFonts w:ascii="Times New Roman" w:eastAsia="Times New Roman" w:hAnsi="Times New Roman"/>
          <w:sz w:val="24"/>
          <w:szCs w:val="24"/>
          <w:lang w:val="en-AU"/>
        </w:rPr>
      </w:pPr>
    </w:p>
    <w:p w:rsidR="0057723D" w:rsidRDefault="0057723D" w:rsidP="0057723D">
      <w:pPr>
        <w:jc w:val="center"/>
        <w:rPr>
          <w:rFonts w:ascii="Times New Roman" w:hAnsi="Times New Roman"/>
          <w:sz w:val="24"/>
          <w:szCs w:val="24"/>
        </w:rPr>
      </w:pPr>
      <w:r w:rsidRPr="007F7329">
        <w:rPr>
          <w:rFonts w:ascii="Times New Roman" w:hAnsi="Times New Roman"/>
          <w:sz w:val="24"/>
          <w:szCs w:val="24"/>
        </w:rPr>
        <w:t>April 2015</w:t>
      </w:r>
    </w:p>
    <w:p w:rsidR="00210F01" w:rsidRDefault="00210F01" w:rsidP="00202C46">
      <w:pPr>
        <w:rPr>
          <w:rFonts w:ascii="Times New Roman" w:hAnsi="Times New Roman" w:cs="Times New Roman"/>
          <w:b/>
          <w:sz w:val="24"/>
          <w:szCs w:val="24"/>
        </w:rPr>
      </w:pPr>
    </w:p>
    <w:p w:rsidR="0057723D" w:rsidRDefault="0057723D" w:rsidP="00202C46">
      <w:pPr>
        <w:rPr>
          <w:rFonts w:ascii="Times New Roman" w:hAnsi="Times New Roman" w:cs="Times New Roman"/>
          <w:b/>
          <w:sz w:val="24"/>
          <w:szCs w:val="24"/>
        </w:rPr>
      </w:pPr>
    </w:p>
    <w:p w:rsidR="0057723D" w:rsidRDefault="0057723D" w:rsidP="00202C46">
      <w:pPr>
        <w:rPr>
          <w:rFonts w:ascii="Times New Roman" w:hAnsi="Times New Roman" w:cs="Times New Roman"/>
          <w:b/>
          <w:sz w:val="24"/>
          <w:szCs w:val="24"/>
        </w:rPr>
      </w:pPr>
    </w:p>
    <w:p w:rsidR="00F25462" w:rsidRDefault="00F25462" w:rsidP="00202C46">
      <w:pPr>
        <w:rPr>
          <w:rFonts w:ascii="Times New Roman" w:hAnsi="Times New Roman" w:cs="Times New Roman"/>
          <w:b/>
          <w:sz w:val="24"/>
          <w:szCs w:val="24"/>
        </w:rPr>
      </w:pPr>
    </w:p>
    <w:p w:rsidR="00192B13" w:rsidRPr="00192B13" w:rsidRDefault="00192B13" w:rsidP="00180A10">
      <w:pPr>
        <w:jc w:val="center"/>
        <w:rPr>
          <w:rFonts w:ascii="Times New Roman" w:hAnsi="Times New Roman" w:cs="Times New Roman"/>
          <w:b/>
          <w:sz w:val="24"/>
          <w:szCs w:val="24"/>
        </w:rPr>
      </w:pPr>
      <w:r w:rsidRPr="00192B13">
        <w:rPr>
          <w:rFonts w:ascii="Times New Roman" w:hAnsi="Times New Roman" w:cs="Times New Roman"/>
          <w:b/>
          <w:sz w:val="24"/>
          <w:szCs w:val="24"/>
        </w:rPr>
        <w:lastRenderedPageBreak/>
        <w:t xml:space="preserve">The </w:t>
      </w:r>
      <w:r>
        <w:rPr>
          <w:rFonts w:ascii="Times New Roman" w:hAnsi="Times New Roman" w:cs="Times New Roman"/>
          <w:b/>
          <w:sz w:val="24"/>
          <w:szCs w:val="24"/>
        </w:rPr>
        <w:t>I</w:t>
      </w:r>
      <w:r w:rsidRPr="00192B13">
        <w:rPr>
          <w:rFonts w:ascii="Times New Roman" w:hAnsi="Times New Roman" w:cs="Times New Roman"/>
          <w:b/>
          <w:sz w:val="24"/>
          <w:szCs w:val="24"/>
        </w:rPr>
        <w:t>mpact of</w:t>
      </w:r>
      <w:r>
        <w:rPr>
          <w:rFonts w:ascii="Times New Roman" w:hAnsi="Times New Roman" w:cs="Times New Roman"/>
          <w:b/>
          <w:sz w:val="24"/>
          <w:szCs w:val="24"/>
        </w:rPr>
        <w:t xml:space="preserve"> Financial R</w:t>
      </w:r>
      <w:r w:rsidRPr="00192B13">
        <w:rPr>
          <w:rFonts w:ascii="Times New Roman" w:hAnsi="Times New Roman" w:cs="Times New Roman"/>
          <w:b/>
          <w:sz w:val="24"/>
          <w:szCs w:val="24"/>
        </w:rPr>
        <w:t>atio</w:t>
      </w:r>
      <w:r w:rsidR="004116D4">
        <w:rPr>
          <w:rFonts w:ascii="Times New Roman" w:hAnsi="Times New Roman" w:cs="Times New Roman"/>
          <w:b/>
          <w:sz w:val="24"/>
          <w:szCs w:val="24"/>
        </w:rPr>
        <w:t>s</w:t>
      </w:r>
      <w:r w:rsidRPr="00192B13">
        <w:rPr>
          <w:rFonts w:ascii="Times New Roman" w:hAnsi="Times New Roman" w:cs="Times New Roman"/>
          <w:b/>
          <w:sz w:val="24"/>
          <w:szCs w:val="24"/>
        </w:rPr>
        <w:t xml:space="preserve"> an</w:t>
      </w:r>
      <w:r>
        <w:rPr>
          <w:rFonts w:ascii="Times New Roman" w:hAnsi="Times New Roman" w:cs="Times New Roman"/>
          <w:b/>
          <w:sz w:val="24"/>
          <w:szCs w:val="24"/>
        </w:rPr>
        <w:t>d Risk F</w:t>
      </w:r>
      <w:r w:rsidRPr="00192B13">
        <w:rPr>
          <w:rFonts w:ascii="Times New Roman" w:hAnsi="Times New Roman" w:cs="Times New Roman"/>
          <w:b/>
          <w:sz w:val="24"/>
          <w:szCs w:val="24"/>
        </w:rPr>
        <w:t>actors toward</w:t>
      </w:r>
      <w:r>
        <w:rPr>
          <w:rFonts w:ascii="Times New Roman" w:hAnsi="Times New Roman" w:cs="Times New Roman"/>
          <w:b/>
          <w:sz w:val="24"/>
          <w:szCs w:val="24"/>
        </w:rPr>
        <w:t xml:space="preserve"> Corporate C</w:t>
      </w:r>
      <w:r w:rsidRPr="00192B13">
        <w:rPr>
          <w:rFonts w:ascii="Times New Roman" w:hAnsi="Times New Roman" w:cs="Times New Roman"/>
          <w:b/>
          <w:sz w:val="24"/>
          <w:szCs w:val="24"/>
        </w:rPr>
        <w:t xml:space="preserve">ash </w:t>
      </w:r>
      <w:r>
        <w:rPr>
          <w:rFonts w:ascii="Times New Roman" w:hAnsi="Times New Roman" w:cs="Times New Roman"/>
          <w:b/>
          <w:sz w:val="24"/>
          <w:szCs w:val="24"/>
        </w:rPr>
        <w:t>H</w:t>
      </w:r>
      <w:r w:rsidRPr="00192B13">
        <w:rPr>
          <w:rFonts w:ascii="Times New Roman" w:hAnsi="Times New Roman" w:cs="Times New Roman"/>
          <w:b/>
          <w:sz w:val="24"/>
          <w:szCs w:val="24"/>
        </w:rPr>
        <w:t xml:space="preserve">oldings </w:t>
      </w:r>
      <w:r>
        <w:rPr>
          <w:rFonts w:ascii="Times New Roman" w:hAnsi="Times New Roman" w:cs="Times New Roman"/>
          <w:b/>
          <w:sz w:val="24"/>
          <w:szCs w:val="24"/>
        </w:rPr>
        <w:t>D</w:t>
      </w:r>
      <w:r w:rsidRPr="00192B13">
        <w:rPr>
          <w:rFonts w:ascii="Times New Roman" w:hAnsi="Times New Roman" w:cs="Times New Roman"/>
          <w:b/>
          <w:sz w:val="24"/>
          <w:szCs w:val="24"/>
        </w:rPr>
        <w:t>ecision</w:t>
      </w:r>
    </w:p>
    <w:p w:rsidR="00180A10" w:rsidRDefault="00180A10" w:rsidP="00180A10">
      <w:pPr>
        <w:jc w:val="center"/>
        <w:rPr>
          <w:sz w:val="24"/>
          <w:szCs w:val="24"/>
        </w:rPr>
      </w:pPr>
      <w:r>
        <w:rPr>
          <w:sz w:val="24"/>
          <w:szCs w:val="24"/>
        </w:rPr>
        <w:t>By</w:t>
      </w:r>
    </w:p>
    <w:p w:rsidR="00192B13" w:rsidRPr="001073BD" w:rsidRDefault="00180A10" w:rsidP="00180A10">
      <w:pPr>
        <w:jc w:val="center"/>
        <w:rPr>
          <w:rFonts w:ascii="Times New Roman" w:hAnsi="Times New Roman" w:cs="Times New Roman"/>
          <w:sz w:val="24"/>
          <w:szCs w:val="24"/>
        </w:rPr>
      </w:pPr>
      <w:proofErr w:type="spellStart"/>
      <w:r w:rsidRPr="001073BD">
        <w:rPr>
          <w:rFonts w:ascii="Times New Roman" w:hAnsi="Times New Roman" w:cs="Times New Roman"/>
          <w:sz w:val="24"/>
          <w:szCs w:val="24"/>
        </w:rPr>
        <w:t>Soh</w:t>
      </w:r>
      <w:proofErr w:type="spellEnd"/>
      <w:r w:rsidRPr="001073BD">
        <w:rPr>
          <w:rFonts w:ascii="Times New Roman" w:hAnsi="Times New Roman" w:cs="Times New Roman"/>
          <w:sz w:val="24"/>
          <w:szCs w:val="24"/>
        </w:rPr>
        <w:t xml:space="preserve"> WN,</w:t>
      </w:r>
      <w:r w:rsidR="00587D2F">
        <w:rPr>
          <w:rFonts w:ascii="Times New Roman" w:hAnsi="Times New Roman" w:cs="Times New Roman"/>
          <w:sz w:val="24"/>
          <w:szCs w:val="24"/>
        </w:rPr>
        <w:t xml:space="preserve"> and </w:t>
      </w:r>
      <w:proofErr w:type="spellStart"/>
      <w:r w:rsidR="00587D2F">
        <w:rPr>
          <w:rFonts w:ascii="Times New Roman" w:hAnsi="Times New Roman" w:cs="Times New Roman"/>
          <w:sz w:val="24"/>
          <w:szCs w:val="24"/>
        </w:rPr>
        <w:t>Annuar</w:t>
      </w:r>
      <w:proofErr w:type="spellEnd"/>
      <w:r w:rsidR="00587D2F">
        <w:rPr>
          <w:rFonts w:ascii="Times New Roman" w:hAnsi="Times New Roman" w:cs="Times New Roman"/>
          <w:sz w:val="24"/>
          <w:szCs w:val="24"/>
        </w:rPr>
        <w:t>, M.N</w:t>
      </w:r>
    </w:p>
    <w:p w:rsidR="00180A10" w:rsidRPr="001073BD" w:rsidRDefault="001073BD" w:rsidP="00180A10">
      <w:pPr>
        <w:jc w:val="center"/>
        <w:rPr>
          <w:rFonts w:ascii="Times New Roman" w:hAnsi="Times New Roman" w:cs="Times New Roman"/>
          <w:sz w:val="24"/>
          <w:szCs w:val="24"/>
        </w:rPr>
      </w:pPr>
      <w:r w:rsidRPr="001073BD">
        <w:rPr>
          <w:rFonts w:ascii="Times New Roman" w:hAnsi="Times New Roman" w:cs="Times New Roman"/>
          <w:sz w:val="24"/>
          <w:szCs w:val="24"/>
        </w:rPr>
        <w:t>University Putra Malaysia</w:t>
      </w:r>
    </w:p>
    <w:p w:rsidR="00884770" w:rsidRDefault="00884770" w:rsidP="001073BD">
      <w:pPr>
        <w:spacing w:after="0" w:line="240" w:lineRule="auto"/>
        <w:rPr>
          <w:rFonts w:ascii="Times New Roman" w:eastAsia="Times New Roman" w:hAnsi="Times New Roman" w:cs="Times New Roman"/>
          <w:sz w:val="24"/>
          <w:szCs w:val="24"/>
          <w:lang w:val="en-AU" w:eastAsia="en-US"/>
        </w:rPr>
      </w:pPr>
    </w:p>
    <w:p w:rsidR="00884770" w:rsidRDefault="00884770" w:rsidP="001073BD">
      <w:pPr>
        <w:spacing w:after="0" w:line="240" w:lineRule="auto"/>
        <w:rPr>
          <w:rFonts w:ascii="Times New Roman" w:eastAsia="Times New Roman" w:hAnsi="Times New Roman" w:cs="Times New Roman"/>
          <w:sz w:val="24"/>
          <w:szCs w:val="24"/>
          <w:lang w:val="en-AU" w:eastAsia="en-US"/>
        </w:rPr>
      </w:pPr>
    </w:p>
    <w:p w:rsidR="001073BD" w:rsidRPr="001073BD" w:rsidRDefault="001073BD" w:rsidP="001073BD">
      <w:pPr>
        <w:spacing w:after="0" w:line="240" w:lineRule="auto"/>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eastAsia="en-US"/>
        </w:rPr>
        <w:t>Soh Wei Ni</w:t>
      </w:r>
    </w:p>
    <w:p w:rsidR="001073BD" w:rsidRPr="001073BD" w:rsidRDefault="001073BD" w:rsidP="001073BD">
      <w:pPr>
        <w:spacing w:after="0" w:line="240" w:lineRule="auto"/>
        <w:rPr>
          <w:rFonts w:ascii="Times New Roman" w:eastAsia="Times New Roman" w:hAnsi="Times New Roman" w:cs="Times New Roman"/>
          <w:sz w:val="24"/>
          <w:szCs w:val="24"/>
          <w:lang w:val="en-AU" w:eastAsia="en-US"/>
        </w:rPr>
      </w:pPr>
      <w:r w:rsidRPr="001073BD">
        <w:rPr>
          <w:rFonts w:ascii="Times New Roman" w:eastAsia="Times New Roman" w:hAnsi="Times New Roman" w:cs="Times New Roman"/>
          <w:sz w:val="24"/>
          <w:szCs w:val="24"/>
          <w:lang w:val="en-AU" w:eastAsia="en-US"/>
        </w:rPr>
        <w:t xml:space="preserve">Department of </w:t>
      </w:r>
      <w:r w:rsidR="00050A1E">
        <w:rPr>
          <w:rFonts w:ascii="Times New Roman" w:eastAsia="Times New Roman" w:hAnsi="Times New Roman" w:cs="Times New Roman"/>
          <w:sz w:val="24"/>
          <w:szCs w:val="24"/>
          <w:lang w:val="en-AU" w:eastAsia="en-US"/>
        </w:rPr>
        <w:t>Accounting and Finance</w:t>
      </w:r>
    </w:p>
    <w:p w:rsidR="001073BD" w:rsidRPr="001073BD" w:rsidRDefault="001073BD" w:rsidP="001073BD">
      <w:pPr>
        <w:spacing w:after="0" w:line="240" w:lineRule="auto"/>
        <w:rPr>
          <w:rFonts w:ascii="Times New Roman" w:eastAsia="Times New Roman" w:hAnsi="Times New Roman" w:cs="Times New Roman"/>
          <w:sz w:val="24"/>
          <w:szCs w:val="24"/>
          <w:lang w:val="en-AU" w:eastAsia="en-US"/>
        </w:rPr>
      </w:pPr>
      <w:r w:rsidRPr="001073BD">
        <w:rPr>
          <w:rFonts w:ascii="Times New Roman" w:eastAsia="Times New Roman" w:hAnsi="Times New Roman" w:cs="Times New Roman"/>
          <w:sz w:val="24"/>
          <w:szCs w:val="24"/>
          <w:lang w:val="en-AU" w:eastAsia="en-US"/>
        </w:rPr>
        <w:t>University Putra Malaysia</w:t>
      </w:r>
    </w:p>
    <w:p w:rsidR="001073BD" w:rsidRDefault="001073BD" w:rsidP="001073BD">
      <w:pPr>
        <w:spacing w:after="0" w:line="240" w:lineRule="auto"/>
        <w:rPr>
          <w:rFonts w:ascii="Times New Roman" w:eastAsia="Times New Roman" w:hAnsi="Times New Roman" w:cs="Times New Roman"/>
          <w:sz w:val="24"/>
          <w:szCs w:val="24"/>
          <w:lang w:val="en-AU" w:eastAsia="en-US"/>
        </w:rPr>
      </w:pPr>
      <w:r w:rsidRPr="001073BD">
        <w:rPr>
          <w:rFonts w:ascii="Times New Roman" w:eastAsia="Times New Roman" w:hAnsi="Times New Roman" w:cs="Times New Roman"/>
          <w:sz w:val="24"/>
          <w:szCs w:val="24"/>
          <w:lang w:val="en-AU" w:eastAsia="en-US"/>
        </w:rPr>
        <w:t xml:space="preserve">Email: </w:t>
      </w:r>
      <w:hyperlink r:id="rId11" w:history="1">
        <w:r w:rsidRPr="00646823">
          <w:rPr>
            <w:rStyle w:val="Hyperlink"/>
            <w:rFonts w:ascii="Times New Roman" w:eastAsia="Times New Roman" w:hAnsi="Times New Roman" w:cs="Times New Roman"/>
            <w:sz w:val="24"/>
            <w:szCs w:val="24"/>
            <w:lang w:val="en-AU" w:eastAsia="en-US"/>
          </w:rPr>
          <w:t>sohweini@yahoo.com</w:t>
        </w:r>
      </w:hyperlink>
    </w:p>
    <w:p w:rsidR="001073BD" w:rsidRPr="001073BD" w:rsidRDefault="001073BD" w:rsidP="001073BD">
      <w:pPr>
        <w:spacing w:after="0" w:line="240" w:lineRule="auto"/>
        <w:rPr>
          <w:rFonts w:ascii="Times New Roman" w:eastAsia="Times New Roman" w:hAnsi="Times New Roman" w:cs="Times New Roman"/>
          <w:sz w:val="24"/>
          <w:szCs w:val="24"/>
          <w:lang w:val="en-AU" w:eastAsia="en-US"/>
        </w:rPr>
      </w:pPr>
      <w:r w:rsidRPr="001073BD">
        <w:rPr>
          <w:rFonts w:ascii="Times New Roman" w:eastAsia="Times New Roman" w:hAnsi="Times New Roman" w:cs="Times New Roman"/>
          <w:sz w:val="24"/>
          <w:szCs w:val="24"/>
          <w:lang w:val="en-AU" w:eastAsia="en-US"/>
        </w:rPr>
        <w:t>Phone: (603) 8946-776</w:t>
      </w:r>
      <w:r>
        <w:rPr>
          <w:rFonts w:ascii="Times New Roman" w:eastAsia="Times New Roman" w:hAnsi="Times New Roman" w:cs="Times New Roman"/>
          <w:sz w:val="24"/>
          <w:szCs w:val="24"/>
          <w:lang w:val="en-AU" w:eastAsia="en-US"/>
        </w:rPr>
        <w:t>9</w:t>
      </w:r>
    </w:p>
    <w:p w:rsidR="001073BD" w:rsidRPr="001073BD" w:rsidRDefault="001073BD" w:rsidP="001073BD">
      <w:pPr>
        <w:spacing w:after="0" w:line="240" w:lineRule="auto"/>
        <w:rPr>
          <w:rFonts w:ascii="Times New Roman" w:eastAsia="Calibri" w:hAnsi="Times New Roman" w:cs="Arial"/>
          <w:sz w:val="28"/>
          <w:szCs w:val="28"/>
          <w:vertAlign w:val="superscript"/>
          <w:lang w:val="en-GB" w:eastAsia="en-US"/>
        </w:rPr>
      </w:pPr>
    </w:p>
    <w:p w:rsidR="001073BD" w:rsidRPr="001073BD" w:rsidRDefault="001073BD" w:rsidP="001073BD">
      <w:pPr>
        <w:spacing w:after="0" w:line="240" w:lineRule="auto"/>
        <w:rPr>
          <w:rFonts w:ascii="Times New Roman" w:eastAsia="Times New Roman" w:hAnsi="Times New Roman" w:cs="Times New Roman"/>
          <w:sz w:val="24"/>
          <w:szCs w:val="24"/>
          <w:vertAlign w:val="superscript"/>
          <w:lang w:val="en-GB" w:eastAsia="en-US"/>
        </w:rPr>
      </w:pPr>
      <w:r w:rsidRPr="001073BD">
        <w:rPr>
          <w:rFonts w:ascii="Times New Roman" w:eastAsia="Calibri" w:hAnsi="Times New Roman" w:cs="Arial"/>
          <w:sz w:val="28"/>
          <w:szCs w:val="28"/>
          <w:vertAlign w:val="superscript"/>
          <w:lang w:val="en-GB" w:eastAsia="en-US"/>
        </w:rPr>
        <w:t>*</w:t>
      </w:r>
      <w:r w:rsidRPr="001073BD">
        <w:rPr>
          <w:rFonts w:ascii="Times New Roman" w:eastAsia="Calibri" w:hAnsi="Times New Roman" w:cs="Arial"/>
          <w:b/>
          <w:sz w:val="24"/>
          <w:szCs w:val="24"/>
          <w:lang w:val="en-GB" w:eastAsia="en-US"/>
        </w:rPr>
        <w:t>Corresponding author</w:t>
      </w:r>
    </w:p>
    <w:p w:rsidR="001073BD" w:rsidRPr="001073BD" w:rsidRDefault="001073BD" w:rsidP="001073BD">
      <w:pPr>
        <w:spacing w:after="0" w:line="240" w:lineRule="auto"/>
        <w:rPr>
          <w:rFonts w:ascii="Times New Roman" w:eastAsia="Times New Roman" w:hAnsi="Times New Roman" w:cs="Times New Roman"/>
          <w:sz w:val="24"/>
          <w:szCs w:val="24"/>
          <w:lang w:val="en-GB" w:eastAsia="en-US"/>
        </w:rPr>
      </w:pPr>
      <w:proofErr w:type="spellStart"/>
      <w:r w:rsidRPr="001073BD">
        <w:rPr>
          <w:rFonts w:ascii="Times New Roman" w:eastAsia="Times New Roman" w:hAnsi="Times New Roman" w:cs="Times New Roman"/>
          <w:sz w:val="24"/>
          <w:szCs w:val="24"/>
          <w:lang w:val="en-GB" w:eastAsia="en-US"/>
        </w:rPr>
        <w:t>Annuar</w:t>
      </w:r>
      <w:proofErr w:type="spellEnd"/>
      <w:r w:rsidRPr="001073BD">
        <w:rPr>
          <w:rFonts w:ascii="Times New Roman" w:eastAsia="Times New Roman" w:hAnsi="Times New Roman" w:cs="Times New Roman"/>
          <w:sz w:val="24"/>
          <w:szCs w:val="24"/>
          <w:lang w:val="en-GB" w:eastAsia="en-US"/>
        </w:rPr>
        <w:t xml:space="preserve"> Md. Nassir</w:t>
      </w:r>
    </w:p>
    <w:p w:rsidR="001073BD" w:rsidRPr="001073BD" w:rsidRDefault="001073BD" w:rsidP="001073BD">
      <w:pPr>
        <w:spacing w:after="0" w:line="24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Faculty of Economics and Management</w:t>
      </w:r>
    </w:p>
    <w:p w:rsidR="001073BD" w:rsidRPr="001073BD" w:rsidRDefault="001073BD" w:rsidP="001073BD">
      <w:pPr>
        <w:spacing w:after="0" w:line="240" w:lineRule="auto"/>
        <w:rPr>
          <w:rFonts w:ascii="Times New Roman" w:eastAsia="Times New Roman" w:hAnsi="Times New Roman" w:cs="Times New Roman"/>
          <w:sz w:val="24"/>
          <w:szCs w:val="24"/>
          <w:lang w:val="en-AU" w:eastAsia="en-US"/>
        </w:rPr>
      </w:pPr>
      <w:r w:rsidRPr="001073BD">
        <w:rPr>
          <w:rFonts w:ascii="Times New Roman" w:eastAsia="Times New Roman" w:hAnsi="Times New Roman" w:cs="Times New Roman"/>
          <w:sz w:val="24"/>
          <w:szCs w:val="24"/>
          <w:lang w:val="en-AU" w:eastAsia="en-US"/>
        </w:rPr>
        <w:t>University Putra Malaysia</w:t>
      </w:r>
    </w:p>
    <w:p w:rsidR="001073BD" w:rsidRPr="001073BD" w:rsidRDefault="001073BD" w:rsidP="001073BD">
      <w:pPr>
        <w:spacing w:after="0" w:line="240" w:lineRule="auto"/>
        <w:rPr>
          <w:rFonts w:ascii="Times New Roman" w:eastAsia="Times New Roman" w:hAnsi="Times New Roman" w:cs="Times New Roman"/>
          <w:sz w:val="24"/>
          <w:szCs w:val="24"/>
          <w:lang w:val="fr-FR" w:eastAsia="en-US"/>
        </w:rPr>
      </w:pPr>
      <w:r w:rsidRPr="001073BD">
        <w:rPr>
          <w:rFonts w:ascii="Times New Roman" w:eastAsia="Calibri" w:hAnsi="Times New Roman" w:cs="Arial"/>
          <w:sz w:val="24"/>
          <w:lang w:val="fr-FR" w:eastAsia="en-US"/>
        </w:rPr>
        <w:t>Email: annuar@upm.edu.my</w:t>
      </w:r>
    </w:p>
    <w:p w:rsidR="001073BD" w:rsidRPr="001073BD" w:rsidRDefault="001073BD" w:rsidP="001073BD">
      <w:pPr>
        <w:spacing w:after="0" w:line="240" w:lineRule="auto"/>
        <w:rPr>
          <w:rFonts w:ascii="Times New Roman" w:eastAsia="Times New Roman" w:hAnsi="Times New Roman" w:cs="Times New Roman"/>
          <w:sz w:val="24"/>
          <w:szCs w:val="24"/>
          <w:lang w:val="en-GB" w:eastAsia="en-US"/>
        </w:rPr>
      </w:pPr>
      <w:r w:rsidRPr="001073BD">
        <w:rPr>
          <w:rFonts w:ascii="Times New Roman" w:eastAsia="Calibri" w:hAnsi="Times New Roman" w:cs="Arial"/>
          <w:sz w:val="24"/>
          <w:szCs w:val="24"/>
          <w:lang w:val="en-GB" w:eastAsia="en-US"/>
        </w:rPr>
        <w:t>Phone: (603) 8946-7699</w:t>
      </w:r>
    </w:p>
    <w:p w:rsidR="001073BD" w:rsidRDefault="001073BD">
      <w:pPr>
        <w:rPr>
          <w:i/>
          <w:sz w:val="24"/>
          <w:szCs w:val="24"/>
        </w:rPr>
      </w:pPr>
    </w:p>
    <w:p w:rsidR="001073BD" w:rsidRPr="001073BD" w:rsidRDefault="001073BD" w:rsidP="001073BD">
      <w:pPr>
        <w:jc w:val="center"/>
        <w:rPr>
          <w:rFonts w:ascii="Times New Roman" w:hAnsi="Times New Roman" w:cs="Times New Roman"/>
          <w:b/>
          <w:sz w:val="24"/>
          <w:szCs w:val="24"/>
        </w:rPr>
      </w:pPr>
      <w:r w:rsidRPr="001073BD">
        <w:rPr>
          <w:rFonts w:ascii="Times New Roman" w:hAnsi="Times New Roman" w:cs="Times New Roman"/>
          <w:b/>
          <w:sz w:val="24"/>
          <w:szCs w:val="24"/>
        </w:rPr>
        <w:t>Manuscript for GFA-2015 in China</w:t>
      </w:r>
    </w:p>
    <w:p w:rsidR="001073BD" w:rsidRPr="001073BD" w:rsidRDefault="001073BD" w:rsidP="001073BD">
      <w:pPr>
        <w:jc w:val="center"/>
        <w:rPr>
          <w:rFonts w:ascii="Times New Roman" w:hAnsi="Times New Roman" w:cs="Times New Roman"/>
          <w:b/>
          <w:sz w:val="24"/>
          <w:szCs w:val="24"/>
        </w:rPr>
      </w:pPr>
      <w:r w:rsidRPr="001073BD">
        <w:rPr>
          <w:rFonts w:ascii="Times New Roman" w:hAnsi="Times New Roman" w:cs="Times New Roman"/>
          <w:b/>
          <w:sz w:val="24"/>
          <w:szCs w:val="24"/>
        </w:rPr>
        <w:t>April, 2015</w:t>
      </w:r>
    </w:p>
    <w:p w:rsidR="001073BD" w:rsidRDefault="001073BD">
      <w:pPr>
        <w:rPr>
          <w:i/>
          <w:sz w:val="24"/>
          <w:szCs w:val="24"/>
        </w:rPr>
      </w:pPr>
    </w:p>
    <w:p w:rsidR="001073BD" w:rsidRDefault="001073BD">
      <w:pPr>
        <w:rPr>
          <w:i/>
          <w:sz w:val="24"/>
          <w:szCs w:val="24"/>
        </w:rPr>
      </w:pPr>
    </w:p>
    <w:p w:rsidR="00884770" w:rsidRDefault="00884770">
      <w:pPr>
        <w:rPr>
          <w:i/>
          <w:sz w:val="24"/>
          <w:szCs w:val="24"/>
        </w:rPr>
      </w:pPr>
    </w:p>
    <w:p w:rsidR="00884770" w:rsidRDefault="001073BD" w:rsidP="00884770">
      <w:pPr>
        <w:spacing w:after="0" w:line="360" w:lineRule="auto"/>
        <w:jc w:val="both"/>
        <w:rPr>
          <w:sz w:val="24"/>
          <w:szCs w:val="24"/>
        </w:rPr>
      </w:pPr>
      <w:r w:rsidRPr="001073BD">
        <w:rPr>
          <w:b/>
          <w:i/>
          <w:sz w:val="24"/>
          <w:szCs w:val="24"/>
        </w:rPr>
        <w:t>Acknowledgment</w:t>
      </w:r>
      <w:r>
        <w:rPr>
          <w:i/>
          <w:sz w:val="24"/>
          <w:szCs w:val="24"/>
        </w:rPr>
        <w:t xml:space="preserve">: </w:t>
      </w:r>
      <w:r w:rsidRPr="001073BD">
        <w:rPr>
          <w:sz w:val="24"/>
          <w:szCs w:val="24"/>
        </w:rPr>
        <w:t>The first author wishes to record her sincere appreciation to the Doctoral Committee members for their guidance of her research.</w:t>
      </w:r>
      <w:r>
        <w:rPr>
          <w:i/>
          <w:sz w:val="24"/>
          <w:szCs w:val="24"/>
        </w:rPr>
        <w:t xml:space="preserve"> </w:t>
      </w:r>
      <w:r w:rsidR="00B052D2">
        <w:rPr>
          <w:sz w:val="24"/>
          <w:szCs w:val="24"/>
        </w:rPr>
        <w:t>This paper is based on part of the findings reported in the thesis.</w:t>
      </w:r>
    </w:p>
    <w:p w:rsidR="00884770" w:rsidRDefault="00884770" w:rsidP="001073BD">
      <w:pPr>
        <w:spacing w:line="360" w:lineRule="auto"/>
        <w:jc w:val="both"/>
        <w:rPr>
          <w:sz w:val="24"/>
          <w:szCs w:val="24"/>
        </w:rPr>
      </w:pPr>
    </w:p>
    <w:p w:rsidR="00884770" w:rsidRDefault="00884770" w:rsidP="00884770">
      <w:pPr>
        <w:jc w:val="center"/>
        <w:rPr>
          <w:i/>
          <w:sz w:val="24"/>
          <w:szCs w:val="24"/>
        </w:rPr>
      </w:pPr>
      <w:r>
        <w:rPr>
          <w:i/>
          <w:sz w:val="24"/>
          <w:szCs w:val="24"/>
        </w:rPr>
        <w:t>Working paper not to be quoted</w:t>
      </w:r>
    </w:p>
    <w:p w:rsidR="001073BD" w:rsidRDefault="001073BD" w:rsidP="001073BD">
      <w:pPr>
        <w:spacing w:line="360" w:lineRule="auto"/>
        <w:jc w:val="both"/>
        <w:rPr>
          <w:i/>
          <w:sz w:val="24"/>
          <w:szCs w:val="24"/>
        </w:rPr>
      </w:pPr>
    </w:p>
    <w:p w:rsidR="001073BD" w:rsidRPr="001073BD" w:rsidRDefault="001073BD" w:rsidP="00884770">
      <w:pPr>
        <w:jc w:val="center"/>
        <w:rPr>
          <w:b/>
          <w:sz w:val="24"/>
          <w:szCs w:val="24"/>
        </w:rPr>
      </w:pPr>
      <w:r w:rsidRPr="001073BD">
        <w:rPr>
          <w:b/>
          <w:sz w:val="24"/>
          <w:szCs w:val="24"/>
        </w:rPr>
        <w:lastRenderedPageBreak/>
        <w:t>Abstract</w:t>
      </w:r>
    </w:p>
    <w:p w:rsidR="001073BD" w:rsidRPr="001073BD" w:rsidRDefault="001073BD">
      <w:pPr>
        <w:rPr>
          <w:rFonts w:ascii="Times New Roman" w:hAnsi="Times New Roman" w:cs="Times New Roman"/>
          <w:sz w:val="24"/>
          <w:szCs w:val="24"/>
        </w:rPr>
      </w:pPr>
    </w:p>
    <w:p w:rsidR="00050A1E" w:rsidRPr="00587D2F" w:rsidRDefault="00050A1E" w:rsidP="00050A1E">
      <w:pPr>
        <w:rPr>
          <w:rFonts w:ascii="Times New Roman" w:hAnsi="Times New Roman" w:cs="Times New Roman"/>
          <w:i/>
          <w:sz w:val="24"/>
          <w:szCs w:val="24"/>
        </w:rPr>
      </w:pPr>
      <w:r w:rsidRPr="00587D2F">
        <w:rPr>
          <w:rFonts w:ascii="Times New Roman" w:hAnsi="Times New Roman" w:cs="Times New Roman"/>
          <w:i/>
          <w:sz w:val="24"/>
          <w:szCs w:val="24"/>
        </w:rPr>
        <w:t xml:space="preserve">This paper investigates the impact of financial ratios and risk factors towards cash holdings. </w:t>
      </w:r>
    </w:p>
    <w:p w:rsidR="006E635A" w:rsidRPr="00884770" w:rsidRDefault="00050A1E" w:rsidP="00884770">
      <w:pPr>
        <w:tabs>
          <w:tab w:val="left" w:pos="810"/>
        </w:tabs>
        <w:spacing w:line="480" w:lineRule="auto"/>
        <w:jc w:val="both"/>
        <w:rPr>
          <w:rFonts w:ascii="Times New Roman" w:hAnsi="Times New Roman" w:cs="Times New Roman"/>
          <w:i/>
          <w:sz w:val="24"/>
          <w:szCs w:val="24"/>
        </w:rPr>
      </w:pPr>
      <w:r w:rsidRPr="00050A1E">
        <w:rPr>
          <w:rFonts w:ascii="Times New Roman" w:hAnsi="Times New Roman" w:cs="Times New Roman"/>
          <w:i/>
          <w:sz w:val="24"/>
          <w:szCs w:val="24"/>
        </w:rPr>
        <w:t>The results of panel regression, without considering the lagged effect of exogenous variables on the current stage, show that the liquidity ratio and repayment ability factor significantly impact the cash-holding decision. The results of this objective report that most of the external risk factors are significant for low cash holding firms in Bursa Malaysia (in fixed-effect regression and GMM estimation) and high cash holding firms in KOSE (in GMM estimation).</w:t>
      </w:r>
    </w:p>
    <w:p w:rsidR="006E635A" w:rsidRDefault="006E635A">
      <w:pPr>
        <w:rPr>
          <w:rFonts w:ascii="Times New Roman" w:hAnsi="Times New Roman" w:cs="Times New Roman"/>
          <w:sz w:val="24"/>
          <w:szCs w:val="24"/>
        </w:rPr>
      </w:pPr>
    </w:p>
    <w:p w:rsidR="006E635A" w:rsidRDefault="00587D2F">
      <w:pPr>
        <w:rPr>
          <w:rFonts w:ascii="Times New Roman" w:hAnsi="Times New Roman" w:cs="Times New Roman"/>
          <w:sz w:val="24"/>
          <w:szCs w:val="24"/>
        </w:rPr>
      </w:pPr>
      <w:r w:rsidRPr="00884770">
        <w:rPr>
          <w:rFonts w:ascii="Times New Roman" w:hAnsi="Times New Roman" w:cs="Times New Roman"/>
          <w:b/>
          <w:sz w:val="24"/>
          <w:szCs w:val="24"/>
        </w:rPr>
        <w:t>Key words</w:t>
      </w:r>
      <w:r>
        <w:rPr>
          <w:rFonts w:ascii="Times New Roman" w:hAnsi="Times New Roman" w:cs="Times New Roman"/>
          <w:sz w:val="24"/>
          <w:szCs w:val="24"/>
        </w:rPr>
        <w:t>: Cash holdings, financial ratios, risk factors</w:t>
      </w:r>
    </w:p>
    <w:p w:rsidR="006E635A" w:rsidRDefault="006E635A">
      <w:pPr>
        <w:rPr>
          <w:rFonts w:ascii="Times New Roman" w:hAnsi="Times New Roman" w:cs="Times New Roman"/>
          <w:sz w:val="24"/>
          <w:szCs w:val="24"/>
        </w:rPr>
      </w:pPr>
    </w:p>
    <w:p w:rsidR="006E635A" w:rsidRDefault="006E635A">
      <w:pPr>
        <w:rPr>
          <w:rFonts w:ascii="Times New Roman" w:hAnsi="Times New Roman" w:cs="Times New Roman"/>
          <w:sz w:val="24"/>
          <w:szCs w:val="24"/>
        </w:rPr>
      </w:pPr>
      <w:r>
        <w:rPr>
          <w:rFonts w:ascii="Times New Roman" w:hAnsi="Times New Roman" w:cs="Times New Roman"/>
          <w:sz w:val="24"/>
          <w:szCs w:val="24"/>
        </w:rPr>
        <w:br w:type="page"/>
      </w:r>
    </w:p>
    <w:p w:rsidR="006E635A" w:rsidRDefault="006E635A">
      <w:pPr>
        <w:rPr>
          <w:rFonts w:ascii="Times New Roman" w:hAnsi="Times New Roman" w:cs="Times New Roman"/>
          <w:sz w:val="24"/>
          <w:szCs w:val="24"/>
        </w:rPr>
      </w:pPr>
      <w:r>
        <w:rPr>
          <w:rFonts w:ascii="Times New Roman" w:hAnsi="Times New Roman" w:cs="Times New Roman"/>
          <w:sz w:val="24"/>
          <w:szCs w:val="24"/>
        </w:rPr>
        <w:lastRenderedPageBreak/>
        <w:t>1. Introduction</w:t>
      </w:r>
    </w:p>
    <w:p w:rsidR="009C27D7" w:rsidRPr="00B052D2" w:rsidRDefault="006E635A" w:rsidP="009C27D7">
      <w:pPr>
        <w:pStyle w:val="ListParagraph"/>
        <w:spacing w:line="480" w:lineRule="auto"/>
        <w:ind w:left="0"/>
        <w:contextualSpacing w:val="0"/>
        <w:jc w:val="both"/>
        <w:rPr>
          <w:rFonts w:ascii="Times New Roman" w:hAnsi="Times New Roman" w:cs="Times New Roman"/>
          <w:sz w:val="24"/>
          <w:szCs w:val="24"/>
        </w:rPr>
      </w:pPr>
      <w:r w:rsidRPr="00B052D2">
        <w:rPr>
          <w:rFonts w:ascii="Times New Roman" w:hAnsi="Times New Roman" w:cs="Times New Roman"/>
          <w:sz w:val="24"/>
          <w:szCs w:val="24"/>
        </w:rPr>
        <w:t xml:space="preserve">This paper is about cash holdings propensity of </w:t>
      </w:r>
      <w:r w:rsidR="00B052D2">
        <w:rPr>
          <w:rFonts w:ascii="Times New Roman" w:hAnsi="Times New Roman" w:cs="Times New Roman"/>
          <w:sz w:val="24"/>
          <w:szCs w:val="24"/>
        </w:rPr>
        <w:t xml:space="preserve">two </w:t>
      </w:r>
      <w:r w:rsidRPr="00B052D2">
        <w:rPr>
          <w:rFonts w:ascii="Times New Roman" w:hAnsi="Times New Roman" w:cs="Times New Roman"/>
          <w:sz w:val="24"/>
          <w:szCs w:val="24"/>
        </w:rPr>
        <w:t xml:space="preserve">samples </w:t>
      </w:r>
      <w:r w:rsidR="00B052D2">
        <w:rPr>
          <w:rFonts w:ascii="Times New Roman" w:hAnsi="Times New Roman" w:cs="Times New Roman"/>
          <w:sz w:val="24"/>
          <w:szCs w:val="24"/>
        </w:rPr>
        <w:t>respectively</w:t>
      </w:r>
      <w:r w:rsidR="00B052D2" w:rsidRPr="00B052D2">
        <w:rPr>
          <w:rFonts w:ascii="Times New Roman" w:hAnsi="Times New Roman" w:cs="Times New Roman"/>
          <w:sz w:val="24"/>
          <w:szCs w:val="24"/>
        </w:rPr>
        <w:t xml:space="preserve"> </w:t>
      </w:r>
      <w:r w:rsidRPr="00B052D2">
        <w:rPr>
          <w:rFonts w:ascii="Times New Roman" w:hAnsi="Times New Roman" w:cs="Times New Roman"/>
          <w:sz w:val="24"/>
          <w:szCs w:val="24"/>
        </w:rPr>
        <w:t xml:space="preserve">of listed companies in Korean and Malaysian stock exchanges. Specifically </w:t>
      </w:r>
      <w:r w:rsidR="00B052D2">
        <w:rPr>
          <w:rFonts w:ascii="Times New Roman" w:hAnsi="Times New Roman" w:cs="Times New Roman"/>
          <w:sz w:val="24"/>
          <w:szCs w:val="24"/>
        </w:rPr>
        <w:t xml:space="preserve">the paper </w:t>
      </w:r>
      <w:r w:rsidRPr="00B052D2">
        <w:rPr>
          <w:rFonts w:ascii="Times New Roman" w:hAnsi="Times New Roman" w:cs="Times New Roman"/>
          <w:sz w:val="24"/>
          <w:szCs w:val="24"/>
        </w:rPr>
        <w:t xml:space="preserve">identifies the </w:t>
      </w:r>
      <w:r w:rsidR="00B052D2">
        <w:rPr>
          <w:rFonts w:ascii="Times New Roman" w:hAnsi="Times New Roman" w:cs="Times New Roman"/>
          <w:sz w:val="24"/>
          <w:szCs w:val="24"/>
        </w:rPr>
        <w:t>correlation of</w:t>
      </w:r>
      <w:r w:rsidRPr="00B052D2">
        <w:rPr>
          <w:rFonts w:ascii="Times New Roman" w:hAnsi="Times New Roman" w:cs="Times New Roman"/>
          <w:sz w:val="24"/>
          <w:szCs w:val="24"/>
        </w:rPr>
        <w:t xml:space="preserve"> financial ratios and risk factors on cash holdings of firms</w:t>
      </w:r>
      <w:r w:rsidR="00B052D2">
        <w:rPr>
          <w:rFonts w:ascii="Times New Roman" w:hAnsi="Times New Roman" w:cs="Times New Roman"/>
          <w:sz w:val="24"/>
          <w:szCs w:val="24"/>
        </w:rPr>
        <w:t xml:space="preserve"> in both countries</w:t>
      </w:r>
      <w:r w:rsidRPr="00B052D2">
        <w:rPr>
          <w:rFonts w:ascii="Times New Roman" w:hAnsi="Times New Roman" w:cs="Times New Roman"/>
          <w:sz w:val="24"/>
          <w:szCs w:val="24"/>
        </w:rPr>
        <w:t xml:space="preserve">. Theory suggests that cash holdings results from top management’s concern about having discretionary funds to pursue their objectives as well their concern to avoid </w:t>
      </w:r>
      <w:r w:rsidR="00B052D2">
        <w:rPr>
          <w:rFonts w:ascii="Times New Roman" w:hAnsi="Times New Roman" w:cs="Times New Roman"/>
          <w:sz w:val="24"/>
          <w:szCs w:val="24"/>
        </w:rPr>
        <w:t xml:space="preserve">likely </w:t>
      </w:r>
      <w:r w:rsidRPr="00B052D2">
        <w:rPr>
          <w:rFonts w:ascii="Times New Roman" w:hAnsi="Times New Roman" w:cs="Times New Roman"/>
          <w:sz w:val="24"/>
          <w:szCs w:val="24"/>
        </w:rPr>
        <w:t xml:space="preserve">technical bankruptcy if </w:t>
      </w:r>
      <w:r w:rsidR="00B052D2">
        <w:rPr>
          <w:rFonts w:ascii="Times New Roman" w:hAnsi="Times New Roman" w:cs="Times New Roman"/>
          <w:sz w:val="24"/>
          <w:szCs w:val="24"/>
        </w:rPr>
        <w:t xml:space="preserve">a </w:t>
      </w:r>
      <w:r w:rsidRPr="00B052D2">
        <w:rPr>
          <w:rFonts w:ascii="Times New Roman" w:hAnsi="Times New Roman" w:cs="Times New Roman"/>
          <w:sz w:val="24"/>
          <w:szCs w:val="24"/>
        </w:rPr>
        <w:t xml:space="preserve">firm </w:t>
      </w:r>
      <w:r w:rsidR="00B052D2">
        <w:rPr>
          <w:rFonts w:ascii="Times New Roman" w:hAnsi="Times New Roman" w:cs="Times New Roman"/>
          <w:sz w:val="24"/>
          <w:szCs w:val="24"/>
        </w:rPr>
        <w:t xml:space="preserve">has insufficient funds to meet </w:t>
      </w:r>
      <w:r w:rsidRPr="00B052D2">
        <w:rPr>
          <w:rFonts w:ascii="Times New Roman" w:hAnsi="Times New Roman" w:cs="Times New Roman"/>
          <w:sz w:val="24"/>
          <w:szCs w:val="24"/>
        </w:rPr>
        <w:t xml:space="preserve">cash </w:t>
      </w:r>
      <w:r w:rsidR="00B052D2">
        <w:rPr>
          <w:rFonts w:ascii="Times New Roman" w:hAnsi="Times New Roman" w:cs="Times New Roman"/>
          <w:sz w:val="24"/>
          <w:szCs w:val="24"/>
        </w:rPr>
        <w:t>demands on the firm. This study aims to i</w:t>
      </w:r>
      <w:r w:rsidR="00192B13" w:rsidRPr="00B052D2">
        <w:rPr>
          <w:rFonts w:ascii="Times New Roman" w:hAnsi="Times New Roman" w:cs="Times New Roman"/>
          <w:sz w:val="24"/>
          <w:szCs w:val="24"/>
        </w:rPr>
        <w:t>nvestigate the impact of financial ratios and risk factors toward</w:t>
      </w:r>
      <w:r w:rsidR="00B052D2">
        <w:rPr>
          <w:rFonts w:ascii="Times New Roman" w:hAnsi="Times New Roman" w:cs="Times New Roman"/>
          <w:sz w:val="24"/>
          <w:szCs w:val="24"/>
        </w:rPr>
        <w:t>s</w:t>
      </w:r>
      <w:r w:rsidR="00192B13" w:rsidRPr="00B052D2">
        <w:rPr>
          <w:rFonts w:ascii="Times New Roman" w:hAnsi="Times New Roman" w:cs="Times New Roman"/>
          <w:sz w:val="24"/>
          <w:szCs w:val="24"/>
        </w:rPr>
        <w:t xml:space="preserve"> cash holdings</w:t>
      </w:r>
      <w:r w:rsidRPr="00B052D2">
        <w:rPr>
          <w:rFonts w:ascii="Times New Roman" w:hAnsi="Times New Roman" w:cs="Times New Roman"/>
          <w:sz w:val="24"/>
          <w:szCs w:val="24"/>
        </w:rPr>
        <w:t>. The motivation for this research is based on a number of reasons. Our aim is to add findings relevant to the risk management literature by providing evidence of risk factors that influence the level of cash holdings</w:t>
      </w:r>
      <w:r w:rsidR="00B052D2">
        <w:rPr>
          <w:rFonts w:ascii="Times New Roman" w:hAnsi="Times New Roman" w:cs="Times New Roman"/>
          <w:sz w:val="24"/>
          <w:szCs w:val="24"/>
        </w:rPr>
        <w:t xml:space="preserve"> in two yet studied economies, namely Korea and Malaysia</w:t>
      </w:r>
      <w:r w:rsidRPr="00B052D2">
        <w:rPr>
          <w:rFonts w:ascii="Times New Roman" w:hAnsi="Times New Roman" w:cs="Times New Roman"/>
          <w:sz w:val="24"/>
          <w:szCs w:val="24"/>
        </w:rPr>
        <w:t xml:space="preserve">. The connection among financial ratios and cash holdings is also important, so this study </w:t>
      </w:r>
      <w:r w:rsidR="00B052D2">
        <w:rPr>
          <w:rFonts w:ascii="Times New Roman" w:hAnsi="Times New Roman" w:cs="Times New Roman"/>
          <w:sz w:val="24"/>
          <w:szCs w:val="24"/>
        </w:rPr>
        <w:t xml:space="preserve">is </w:t>
      </w:r>
      <w:r w:rsidRPr="00B052D2">
        <w:rPr>
          <w:rFonts w:ascii="Times New Roman" w:hAnsi="Times New Roman" w:cs="Times New Roman"/>
          <w:sz w:val="24"/>
          <w:szCs w:val="24"/>
        </w:rPr>
        <w:t xml:space="preserve">motivated to find what factors are correlated with cash holding activities of firms in two diverse economies, one developed and one developing. </w:t>
      </w:r>
    </w:p>
    <w:p w:rsidR="00180A10" w:rsidRDefault="006E635A" w:rsidP="00B052D2">
      <w:pPr>
        <w:pStyle w:val="ListParagraph"/>
        <w:spacing w:line="480" w:lineRule="auto"/>
        <w:ind w:left="0" w:firstLine="720"/>
        <w:contextualSpacing w:val="0"/>
        <w:jc w:val="both"/>
        <w:rPr>
          <w:rFonts w:ascii="Times New Roman" w:hAnsi="Times New Roman" w:cs="Times New Roman"/>
          <w:sz w:val="24"/>
          <w:szCs w:val="24"/>
        </w:rPr>
      </w:pPr>
      <w:r w:rsidRPr="00B052D2">
        <w:rPr>
          <w:rFonts w:ascii="Times New Roman" w:hAnsi="Times New Roman" w:cs="Times New Roman"/>
          <w:sz w:val="24"/>
          <w:szCs w:val="24"/>
        </w:rPr>
        <w:t>Both economies have advanced institutional and regulatory framework</w:t>
      </w:r>
      <w:r w:rsidR="00B052D2">
        <w:rPr>
          <w:rFonts w:ascii="Times New Roman" w:hAnsi="Times New Roman" w:cs="Times New Roman"/>
          <w:sz w:val="24"/>
          <w:szCs w:val="24"/>
        </w:rPr>
        <w:t>s</w:t>
      </w:r>
      <w:r w:rsidRPr="00B052D2">
        <w:rPr>
          <w:rFonts w:ascii="Times New Roman" w:hAnsi="Times New Roman" w:cs="Times New Roman"/>
          <w:sz w:val="24"/>
          <w:szCs w:val="24"/>
        </w:rPr>
        <w:t xml:space="preserve"> in that the accounting standards are well developed, </w:t>
      </w:r>
      <w:r w:rsidR="00B052D2">
        <w:rPr>
          <w:rFonts w:ascii="Times New Roman" w:hAnsi="Times New Roman" w:cs="Times New Roman"/>
          <w:sz w:val="24"/>
          <w:szCs w:val="24"/>
        </w:rPr>
        <w:t xml:space="preserve">standards of </w:t>
      </w:r>
      <w:r w:rsidRPr="00B052D2">
        <w:rPr>
          <w:rFonts w:ascii="Times New Roman" w:hAnsi="Times New Roman" w:cs="Times New Roman"/>
          <w:sz w:val="24"/>
          <w:szCs w:val="24"/>
        </w:rPr>
        <w:t>supervision of securities markets are advance</w:t>
      </w:r>
      <w:r w:rsidR="00B052D2">
        <w:rPr>
          <w:rFonts w:ascii="Times New Roman" w:hAnsi="Times New Roman" w:cs="Times New Roman"/>
          <w:sz w:val="24"/>
          <w:szCs w:val="24"/>
        </w:rPr>
        <w:t>d</w:t>
      </w:r>
      <w:r w:rsidRPr="00B052D2">
        <w:rPr>
          <w:rFonts w:ascii="Times New Roman" w:hAnsi="Times New Roman" w:cs="Times New Roman"/>
          <w:sz w:val="24"/>
          <w:szCs w:val="24"/>
        </w:rPr>
        <w:t>, as are trading practices. Both economies are relatively affluent economies, though Korea has joined the ranks of developed economies some years back while Malaysia hopes to do so by the year 20120</w:t>
      </w:r>
      <w:r w:rsidR="00B052D2">
        <w:rPr>
          <w:rFonts w:ascii="Times New Roman" w:hAnsi="Times New Roman" w:cs="Times New Roman"/>
          <w:sz w:val="24"/>
          <w:szCs w:val="24"/>
        </w:rPr>
        <w:t xml:space="preserve"> with its current per capita income close to US$ 10,000, which is somewhat below the income level needed to qualify for classification as developed economy</w:t>
      </w:r>
      <w:r w:rsidRPr="00B052D2">
        <w:rPr>
          <w:rFonts w:ascii="Times New Roman" w:hAnsi="Times New Roman" w:cs="Times New Roman"/>
          <w:sz w:val="24"/>
          <w:szCs w:val="24"/>
        </w:rPr>
        <w:t>. The similarity in standards of regulations and supervision make these two cases to be compared in this paper.</w:t>
      </w:r>
      <w:r w:rsidR="009C27D7" w:rsidRPr="00B052D2">
        <w:rPr>
          <w:rFonts w:ascii="Times New Roman" w:hAnsi="Times New Roman" w:cs="Times New Roman"/>
          <w:sz w:val="24"/>
          <w:szCs w:val="24"/>
        </w:rPr>
        <w:t xml:space="preserve"> </w:t>
      </w:r>
      <w:r w:rsidRPr="00B052D2">
        <w:rPr>
          <w:rFonts w:ascii="Times New Roman" w:hAnsi="Times New Roman" w:cs="Times New Roman"/>
          <w:sz w:val="24"/>
          <w:szCs w:val="24"/>
        </w:rPr>
        <w:t xml:space="preserve">The findings </w:t>
      </w:r>
      <w:r w:rsidR="009C27D7" w:rsidRPr="00B052D2">
        <w:rPr>
          <w:rFonts w:ascii="Times New Roman" w:hAnsi="Times New Roman" w:cs="Times New Roman"/>
          <w:sz w:val="24"/>
          <w:szCs w:val="24"/>
        </w:rPr>
        <w:t xml:space="preserve">could </w:t>
      </w:r>
      <w:r w:rsidRPr="00B052D2">
        <w:rPr>
          <w:rFonts w:ascii="Times New Roman" w:hAnsi="Times New Roman" w:cs="Times New Roman"/>
          <w:sz w:val="24"/>
          <w:szCs w:val="24"/>
        </w:rPr>
        <w:t xml:space="preserve">also serve as reference for shareholders to understand the purpose of </w:t>
      </w:r>
      <w:r w:rsidR="009C27D7" w:rsidRPr="00B052D2">
        <w:rPr>
          <w:rFonts w:ascii="Times New Roman" w:hAnsi="Times New Roman" w:cs="Times New Roman"/>
          <w:sz w:val="24"/>
          <w:szCs w:val="24"/>
        </w:rPr>
        <w:t xml:space="preserve">management to </w:t>
      </w:r>
      <w:r w:rsidRPr="00B052D2">
        <w:rPr>
          <w:rFonts w:ascii="Times New Roman" w:hAnsi="Times New Roman" w:cs="Times New Roman"/>
          <w:sz w:val="24"/>
          <w:szCs w:val="24"/>
        </w:rPr>
        <w:t>increase cash holdings</w:t>
      </w:r>
      <w:r w:rsidR="009C27D7" w:rsidRPr="00B052D2">
        <w:rPr>
          <w:rFonts w:ascii="Times New Roman" w:hAnsi="Times New Roman" w:cs="Times New Roman"/>
          <w:sz w:val="24"/>
          <w:szCs w:val="24"/>
        </w:rPr>
        <w:t>.</w:t>
      </w:r>
      <w:r w:rsidRPr="00B052D2">
        <w:rPr>
          <w:rFonts w:ascii="Times New Roman" w:hAnsi="Times New Roman" w:cs="Times New Roman"/>
          <w:sz w:val="24"/>
          <w:szCs w:val="24"/>
        </w:rPr>
        <w:t xml:space="preserve"> </w:t>
      </w:r>
    </w:p>
    <w:p w:rsidR="009C27D7" w:rsidRDefault="009C27D7" w:rsidP="00B052D2">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rest of the paper is organized into the following section. In section 2 one could find a summary of review of literature on cash holdings. Section 3 provides a summary of discussion how an appropriate advanced methodology is selected to study this aspect: this paper uses production efficiency measures as preferred method over using financial ratios. The findings are reported in Section 4 while the paper ends in Section 5 with a conclusion. </w:t>
      </w:r>
    </w:p>
    <w:p w:rsidR="004116D4" w:rsidRPr="004116D4" w:rsidRDefault="004116D4" w:rsidP="004116D4">
      <w:pPr>
        <w:pStyle w:val="ListParagraph"/>
        <w:spacing w:line="240" w:lineRule="auto"/>
        <w:ind w:left="0"/>
        <w:jc w:val="both"/>
        <w:rPr>
          <w:rFonts w:ascii="Times New Roman" w:hAnsi="Times New Roman" w:cs="Times New Roman"/>
          <w:b/>
          <w:sz w:val="24"/>
          <w:szCs w:val="24"/>
        </w:rPr>
      </w:pPr>
    </w:p>
    <w:p w:rsidR="004116D4" w:rsidRPr="00C53AD0" w:rsidRDefault="00B052D2" w:rsidP="004116D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2.0 </w:t>
      </w:r>
      <w:r w:rsidR="00180A10">
        <w:rPr>
          <w:rFonts w:ascii="Times New Roman" w:hAnsi="Times New Roman" w:cs="Times New Roman"/>
          <w:b/>
          <w:sz w:val="24"/>
          <w:szCs w:val="24"/>
        </w:rPr>
        <w:t>Review of Literature</w:t>
      </w:r>
      <w:r w:rsidR="004116D4" w:rsidRPr="00C53AD0">
        <w:rPr>
          <w:rFonts w:ascii="Times New Roman" w:hAnsi="Times New Roman" w:cs="Times New Roman"/>
          <w:sz w:val="24"/>
          <w:szCs w:val="24"/>
        </w:rPr>
        <w:tab/>
      </w:r>
    </w:p>
    <w:p w:rsidR="004116D4" w:rsidRDefault="004116D4" w:rsidP="00B052D2">
      <w:pPr>
        <w:tabs>
          <w:tab w:val="left" w:pos="810"/>
        </w:tabs>
        <w:spacing w:line="480" w:lineRule="auto"/>
        <w:jc w:val="both"/>
        <w:rPr>
          <w:rFonts w:ascii="Times New Roman" w:hAnsi="Times New Roman" w:cs="Times New Roman"/>
          <w:sz w:val="24"/>
          <w:szCs w:val="24"/>
        </w:rPr>
      </w:pPr>
      <w:r w:rsidRPr="00C53AD0">
        <w:rPr>
          <w:rFonts w:ascii="Times New Roman" w:hAnsi="Times New Roman" w:cs="Times New Roman"/>
          <w:sz w:val="24"/>
          <w:szCs w:val="24"/>
        </w:rPr>
        <w:t>Risk factors usually denote discrepancy in</w:t>
      </w:r>
      <w:r>
        <w:rPr>
          <w:rFonts w:ascii="Times New Roman" w:hAnsi="Times New Roman" w:cs="Times New Roman"/>
          <w:sz w:val="24"/>
          <w:szCs w:val="24"/>
        </w:rPr>
        <w:t xml:space="preserve"> a</w:t>
      </w:r>
      <w:r w:rsidRPr="00C53AD0">
        <w:rPr>
          <w:rFonts w:ascii="Times New Roman" w:hAnsi="Times New Roman" w:cs="Times New Roman"/>
          <w:sz w:val="24"/>
          <w:szCs w:val="24"/>
        </w:rPr>
        <w:t xml:space="preserve"> firm</w:t>
      </w:r>
      <w:r>
        <w:rPr>
          <w:rFonts w:ascii="Times New Roman" w:hAnsi="Times New Roman" w:cs="Times New Roman"/>
          <w:sz w:val="24"/>
          <w:szCs w:val="24"/>
        </w:rPr>
        <w:t>’s</w:t>
      </w:r>
      <w:r w:rsidRPr="00C53AD0">
        <w:rPr>
          <w:rFonts w:ascii="Times New Roman" w:hAnsi="Times New Roman" w:cs="Times New Roman"/>
          <w:sz w:val="24"/>
          <w:szCs w:val="24"/>
        </w:rPr>
        <w:t xml:space="preserve"> performance or</w:t>
      </w:r>
      <w:r>
        <w:rPr>
          <w:rFonts w:ascii="Times New Roman" w:hAnsi="Times New Roman" w:cs="Times New Roman"/>
          <w:sz w:val="24"/>
          <w:szCs w:val="24"/>
        </w:rPr>
        <w:t xml:space="preserve"> point to</w:t>
      </w:r>
      <w:r w:rsidRPr="00C53AD0">
        <w:rPr>
          <w:rFonts w:ascii="Times New Roman" w:hAnsi="Times New Roman" w:cs="Times New Roman"/>
          <w:sz w:val="24"/>
          <w:szCs w:val="24"/>
        </w:rPr>
        <w:t xml:space="preserve"> result</w:t>
      </w:r>
      <w:r>
        <w:rPr>
          <w:rFonts w:ascii="Times New Roman" w:hAnsi="Times New Roman" w:cs="Times New Roman"/>
          <w:sz w:val="24"/>
          <w:szCs w:val="24"/>
        </w:rPr>
        <w:t>s</w:t>
      </w:r>
      <w:r w:rsidRPr="00C53AD0">
        <w:rPr>
          <w:rFonts w:ascii="Times New Roman" w:hAnsi="Times New Roman" w:cs="Times New Roman"/>
          <w:sz w:val="24"/>
          <w:szCs w:val="24"/>
        </w:rPr>
        <w:t xml:space="preserve"> that cannot be predicted before </w:t>
      </w:r>
      <w:r>
        <w:rPr>
          <w:rFonts w:ascii="Times New Roman" w:hAnsi="Times New Roman" w:cs="Times New Roman"/>
          <w:sz w:val="24"/>
          <w:szCs w:val="24"/>
        </w:rPr>
        <w:t xml:space="preserve">an </w:t>
      </w:r>
      <w:r w:rsidRPr="00C53AD0">
        <w:rPr>
          <w:rFonts w:ascii="Times New Roman" w:hAnsi="Times New Roman" w:cs="Times New Roman"/>
          <w:sz w:val="24"/>
          <w:szCs w:val="24"/>
        </w:rPr>
        <w:t>incident occur</w:t>
      </w:r>
      <w:r>
        <w:rPr>
          <w:rFonts w:ascii="Times New Roman" w:hAnsi="Times New Roman" w:cs="Times New Roman"/>
          <w:sz w:val="24"/>
          <w:szCs w:val="24"/>
        </w:rPr>
        <w:t>s</w:t>
      </w:r>
      <w:r w:rsidRPr="00C53AD0">
        <w:rPr>
          <w:rFonts w:ascii="Times New Roman" w:hAnsi="Times New Roman" w:cs="Times New Roman"/>
          <w:sz w:val="24"/>
          <w:szCs w:val="24"/>
        </w:rPr>
        <w:t>. The</w:t>
      </w:r>
      <w:r>
        <w:rPr>
          <w:rFonts w:ascii="Times New Roman" w:hAnsi="Times New Roman" w:cs="Times New Roman"/>
          <w:sz w:val="24"/>
          <w:szCs w:val="24"/>
        </w:rPr>
        <w:t xml:space="preserve"> source of the</w:t>
      </w:r>
      <w:r w:rsidRPr="00C53AD0">
        <w:rPr>
          <w:rFonts w:ascii="Times New Roman" w:hAnsi="Times New Roman" w:cs="Times New Roman"/>
          <w:sz w:val="24"/>
          <w:szCs w:val="24"/>
        </w:rPr>
        <w:t xml:space="preserve"> risk could</w:t>
      </w:r>
      <w:r>
        <w:rPr>
          <w:rFonts w:ascii="Times New Roman" w:hAnsi="Times New Roman" w:cs="Times New Roman"/>
          <w:sz w:val="24"/>
          <w:szCs w:val="24"/>
        </w:rPr>
        <w:t xml:space="preserve"> stem from </w:t>
      </w:r>
      <w:r w:rsidRPr="00C53AD0">
        <w:rPr>
          <w:rFonts w:ascii="Times New Roman" w:hAnsi="Times New Roman" w:cs="Times New Roman"/>
          <w:sz w:val="24"/>
          <w:szCs w:val="24"/>
        </w:rPr>
        <w:t xml:space="preserve">external and internal factors that impact </w:t>
      </w:r>
      <w:r>
        <w:rPr>
          <w:rFonts w:ascii="Times New Roman" w:hAnsi="Times New Roman" w:cs="Times New Roman"/>
          <w:sz w:val="24"/>
          <w:szCs w:val="24"/>
        </w:rPr>
        <w:t xml:space="preserve">a </w:t>
      </w:r>
      <w:r w:rsidRPr="00C53AD0">
        <w:rPr>
          <w:rFonts w:ascii="Times New Roman" w:hAnsi="Times New Roman" w:cs="Times New Roman"/>
          <w:sz w:val="24"/>
          <w:szCs w:val="24"/>
        </w:rPr>
        <w:t>firm</w:t>
      </w:r>
      <w:r>
        <w:rPr>
          <w:rFonts w:ascii="Times New Roman" w:hAnsi="Times New Roman" w:cs="Times New Roman"/>
          <w:sz w:val="24"/>
          <w:szCs w:val="24"/>
        </w:rPr>
        <w:t>’s performance</w:t>
      </w:r>
      <w:r w:rsidRPr="00C53AD0">
        <w:rPr>
          <w:rFonts w:ascii="Times New Roman" w:hAnsi="Times New Roman" w:cs="Times New Roman"/>
          <w:sz w:val="24"/>
          <w:szCs w:val="24"/>
        </w:rPr>
        <w:t xml:space="preserve"> such as profitability, management, liquidity</w:t>
      </w:r>
      <w:r>
        <w:rPr>
          <w:rFonts w:ascii="Times New Roman" w:hAnsi="Times New Roman" w:cs="Times New Roman"/>
          <w:sz w:val="24"/>
          <w:szCs w:val="24"/>
        </w:rPr>
        <w:t>,</w:t>
      </w:r>
      <w:r w:rsidRPr="00C53AD0">
        <w:rPr>
          <w:rFonts w:ascii="Times New Roman" w:hAnsi="Times New Roman" w:cs="Times New Roman"/>
          <w:sz w:val="24"/>
          <w:szCs w:val="24"/>
        </w:rPr>
        <w:t xml:space="preserve"> and others, </w:t>
      </w:r>
      <w:r>
        <w:rPr>
          <w:rFonts w:ascii="Times New Roman" w:hAnsi="Times New Roman" w:cs="Times New Roman"/>
          <w:sz w:val="24"/>
          <w:szCs w:val="24"/>
        </w:rPr>
        <w:t xml:space="preserve">in </w:t>
      </w:r>
      <w:r w:rsidRPr="00C53AD0">
        <w:rPr>
          <w:rFonts w:ascii="Times New Roman" w:hAnsi="Times New Roman" w:cs="Times New Roman"/>
          <w:sz w:val="24"/>
          <w:szCs w:val="24"/>
        </w:rPr>
        <w:t xml:space="preserve">which </w:t>
      </w:r>
      <w:r>
        <w:rPr>
          <w:rFonts w:ascii="Times New Roman" w:hAnsi="Times New Roman" w:cs="Times New Roman"/>
          <w:sz w:val="24"/>
          <w:szCs w:val="24"/>
        </w:rPr>
        <w:t>the</w:t>
      </w:r>
      <w:r w:rsidRPr="00C53AD0">
        <w:rPr>
          <w:rFonts w:ascii="Times New Roman" w:hAnsi="Times New Roman" w:cs="Times New Roman"/>
          <w:sz w:val="24"/>
          <w:szCs w:val="24"/>
        </w:rPr>
        <w:t xml:space="preserve"> firm</w:t>
      </w:r>
      <w:r>
        <w:rPr>
          <w:rFonts w:ascii="Times New Roman" w:hAnsi="Times New Roman" w:cs="Times New Roman"/>
          <w:sz w:val="24"/>
          <w:szCs w:val="24"/>
        </w:rPr>
        <w:t>’s</w:t>
      </w:r>
      <w:r w:rsidRPr="00C53AD0">
        <w:rPr>
          <w:rFonts w:ascii="Times New Roman" w:hAnsi="Times New Roman" w:cs="Times New Roman"/>
          <w:sz w:val="24"/>
          <w:szCs w:val="24"/>
        </w:rPr>
        <w:t xml:space="preserve"> operation</w:t>
      </w:r>
      <w:r>
        <w:rPr>
          <w:rFonts w:ascii="Times New Roman" w:hAnsi="Times New Roman" w:cs="Times New Roman"/>
          <w:sz w:val="24"/>
          <w:szCs w:val="24"/>
        </w:rPr>
        <w:t xml:space="preserve">s could be </w:t>
      </w:r>
      <w:r w:rsidRPr="00C53AD0">
        <w:rPr>
          <w:rFonts w:ascii="Times New Roman" w:hAnsi="Times New Roman" w:cs="Times New Roman"/>
          <w:sz w:val="24"/>
          <w:szCs w:val="24"/>
        </w:rPr>
        <w:t>expose</w:t>
      </w:r>
      <w:r>
        <w:rPr>
          <w:rFonts w:ascii="Times New Roman" w:hAnsi="Times New Roman" w:cs="Times New Roman"/>
          <w:sz w:val="24"/>
          <w:szCs w:val="24"/>
        </w:rPr>
        <w:t>d</w:t>
      </w:r>
      <w:r w:rsidRPr="00C53AD0">
        <w:rPr>
          <w:rFonts w:ascii="Times New Roman" w:hAnsi="Times New Roman" w:cs="Times New Roman"/>
          <w:sz w:val="24"/>
          <w:szCs w:val="24"/>
        </w:rPr>
        <w:t xml:space="preserve"> to certain indeterminate environmental components. This term of risk </w:t>
      </w:r>
      <w:r>
        <w:rPr>
          <w:rFonts w:ascii="Times New Roman" w:hAnsi="Times New Roman" w:cs="Times New Roman"/>
          <w:sz w:val="24"/>
          <w:szCs w:val="24"/>
        </w:rPr>
        <w:t>tallies</w:t>
      </w:r>
      <w:r w:rsidRPr="00C53AD0">
        <w:rPr>
          <w:rFonts w:ascii="Times New Roman" w:hAnsi="Times New Roman" w:cs="Times New Roman"/>
          <w:sz w:val="24"/>
          <w:szCs w:val="24"/>
        </w:rPr>
        <w:t xml:space="preserve"> with </w:t>
      </w:r>
      <w:r>
        <w:rPr>
          <w:rFonts w:ascii="Times New Roman" w:hAnsi="Times New Roman" w:cs="Times New Roman"/>
          <w:sz w:val="24"/>
          <w:szCs w:val="24"/>
        </w:rPr>
        <w:t xml:space="preserve">that used by </w:t>
      </w:r>
      <w:r w:rsidRPr="00C53AD0">
        <w:rPr>
          <w:rFonts w:ascii="Times New Roman" w:hAnsi="Times New Roman" w:cs="Times New Roman"/>
          <w:sz w:val="24"/>
          <w:szCs w:val="24"/>
        </w:rPr>
        <w:t>researchers in strategy management that apply the variance or standard deviation of performance variables over the fiscal accounting year (Miller, 1992).</w:t>
      </w:r>
    </w:p>
    <w:p w:rsidR="007A7082" w:rsidRPr="00C53AD0" w:rsidRDefault="00B052D2" w:rsidP="00B052D2">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7082" w:rsidRPr="00C53AD0">
        <w:rPr>
          <w:rFonts w:ascii="Times New Roman" w:hAnsi="Times New Roman" w:cs="Times New Roman"/>
          <w:sz w:val="24"/>
          <w:szCs w:val="24"/>
        </w:rPr>
        <w:t>The decision on</w:t>
      </w:r>
      <w:r w:rsidR="007A7082">
        <w:rPr>
          <w:rFonts w:ascii="Times New Roman" w:hAnsi="Times New Roman" w:cs="Times New Roman"/>
          <w:sz w:val="24"/>
          <w:szCs w:val="24"/>
        </w:rPr>
        <w:t xml:space="preserve"> a cash-holding</w:t>
      </w:r>
      <w:r w:rsidR="007A7082" w:rsidRPr="00C53AD0">
        <w:rPr>
          <w:rFonts w:ascii="Times New Roman" w:hAnsi="Times New Roman" w:cs="Times New Roman"/>
          <w:sz w:val="24"/>
          <w:szCs w:val="24"/>
        </w:rPr>
        <w:t xml:space="preserve"> policy is </w:t>
      </w:r>
      <w:r w:rsidR="007A7082">
        <w:rPr>
          <w:rFonts w:ascii="Times New Roman" w:hAnsi="Times New Roman" w:cs="Times New Roman"/>
          <w:sz w:val="24"/>
          <w:szCs w:val="24"/>
        </w:rPr>
        <w:t>based on</w:t>
      </w:r>
      <w:r w:rsidR="007A7082" w:rsidRPr="00C53AD0">
        <w:rPr>
          <w:rFonts w:ascii="Times New Roman" w:hAnsi="Times New Roman" w:cs="Times New Roman"/>
          <w:sz w:val="24"/>
          <w:szCs w:val="24"/>
        </w:rPr>
        <w:t xml:space="preserve"> several risk factors</w:t>
      </w:r>
      <w:r w:rsidR="007A7082">
        <w:rPr>
          <w:rFonts w:ascii="Times New Roman" w:hAnsi="Times New Roman" w:cs="Times New Roman"/>
          <w:sz w:val="24"/>
          <w:szCs w:val="24"/>
        </w:rPr>
        <w:t>,</w:t>
      </w:r>
      <w:r w:rsidR="007A7082" w:rsidRPr="00C53AD0">
        <w:rPr>
          <w:rFonts w:ascii="Times New Roman" w:hAnsi="Times New Roman" w:cs="Times New Roman"/>
          <w:sz w:val="24"/>
          <w:szCs w:val="24"/>
        </w:rPr>
        <w:t xml:space="preserve"> and</w:t>
      </w:r>
      <w:r w:rsidR="007A7082">
        <w:rPr>
          <w:rFonts w:ascii="Times New Roman" w:hAnsi="Times New Roman" w:cs="Times New Roman"/>
          <w:sz w:val="24"/>
          <w:szCs w:val="24"/>
        </w:rPr>
        <w:t xml:space="preserve"> the </w:t>
      </w:r>
      <w:r w:rsidR="007A7082" w:rsidRPr="00C53AD0">
        <w:rPr>
          <w:rFonts w:ascii="Times New Roman" w:hAnsi="Times New Roman" w:cs="Times New Roman"/>
          <w:sz w:val="24"/>
          <w:szCs w:val="24"/>
        </w:rPr>
        <w:t>level of risk that corporations experience, especially credit risk</w:t>
      </w:r>
      <w:r w:rsidR="007A7082">
        <w:rPr>
          <w:rFonts w:ascii="Times New Roman" w:hAnsi="Times New Roman" w:cs="Times New Roman"/>
          <w:sz w:val="24"/>
          <w:szCs w:val="24"/>
        </w:rPr>
        <w:t xml:space="preserve"> that </w:t>
      </w:r>
      <w:r w:rsidR="007A7082" w:rsidRPr="00C53AD0">
        <w:rPr>
          <w:rFonts w:ascii="Times New Roman" w:hAnsi="Times New Roman" w:cs="Times New Roman"/>
          <w:sz w:val="24"/>
          <w:szCs w:val="24"/>
        </w:rPr>
        <w:t>directly impact</w:t>
      </w:r>
      <w:r w:rsidR="007A7082">
        <w:rPr>
          <w:rFonts w:ascii="Times New Roman" w:hAnsi="Times New Roman" w:cs="Times New Roman"/>
          <w:sz w:val="24"/>
          <w:szCs w:val="24"/>
        </w:rPr>
        <w:t>s</w:t>
      </w:r>
      <w:r w:rsidR="007A7082" w:rsidRPr="00C53AD0">
        <w:rPr>
          <w:rFonts w:ascii="Times New Roman" w:hAnsi="Times New Roman" w:cs="Times New Roman"/>
          <w:sz w:val="24"/>
          <w:szCs w:val="24"/>
        </w:rPr>
        <w:t xml:space="preserve"> </w:t>
      </w:r>
      <w:r w:rsidR="007A7082">
        <w:rPr>
          <w:rFonts w:ascii="Times New Roman" w:hAnsi="Times New Roman" w:cs="Times New Roman"/>
          <w:sz w:val="24"/>
          <w:szCs w:val="24"/>
        </w:rPr>
        <w:t>a</w:t>
      </w:r>
      <w:r w:rsidR="007A7082" w:rsidRPr="00C53AD0">
        <w:rPr>
          <w:rFonts w:ascii="Times New Roman" w:hAnsi="Times New Roman" w:cs="Times New Roman"/>
          <w:sz w:val="24"/>
          <w:szCs w:val="24"/>
        </w:rPr>
        <w:t xml:space="preserve"> firm</w:t>
      </w:r>
      <w:r w:rsidR="007A7082">
        <w:rPr>
          <w:rFonts w:ascii="Times New Roman" w:hAnsi="Times New Roman" w:cs="Times New Roman"/>
          <w:sz w:val="24"/>
          <w:szCs w:val="24"/>
        </w:rPr>
        <w:t>’</w:t>
      </w:r>
      <w:r w:rsidR="007A7082" w:rsidRPr="00C53AD0">
        <w:rPr>
          <w:rFonts w:ascii="Times New Roman" w:hAnsi="Times New Roman" w:cs="Times New Roman"/>
          <w:sz w:val="24"/>
          <w:szCs w:val="24"/>
        </w:rPr>
        <w:t>s performance and market value. In general, the corporation with higher cash holdings should be safer and face lower</w:t>
      </w:r>
      <w:r w:rsidR="007A7082">
        <w:rPr>
          <w:rFonts w:ascii="Times New Roman" w:hAnsi="Times New Roman" w:cs="Times New Roman"/>
          <w:sz w:val="24"/>
          <w:szCs w:val="24"/>
        </w:rPr>
        <w:t xml:space="preserve"> credit risk. However, </w:t>
      </w:r>
      <w:proofErr w:type="spellStart"/>
      <w:r w:rsidR="007A7082">
        <w:rPr>
          <w:rFonts w:ascii="Times New Roman" w:hAnsi="Times New Roman" w:cs="Times New Roman"/>
          <w:sz w:val="24"/>
          <w:szCs w:val="24"/>
        </w:rPr>
        <w:t>Acharya</w:t>
      </w:r>
      <w:proofErr w:type="spellEnd"/>
      <w:r w:rsidR="007A7082">
        <w:rPr>
          <w:rFonts w:ascii="Times New Roman" w:hAnsi="Times New Roman" w:cs="Times New Roman"/>
          <w:sz w:val="24"/>
          <w:szCs w:val="24"/>
        </w:rPr>
        <w:t xml:space="preserve"> et al. </w:t>
      </w:r>
      <w:r w:rsidR="007A7082" w:rsidRPr="00C53AD0">
        <w:rPr>
          <w:rFonts w:ascii="Times New Roman" w:hAnsi="Times New Roman" w:cs="Times New Roman"/>
          <w:sz w:val="24"/>
          <w:szCs w:val="24"/>
        </w:rPr>
        <w:t>(2011) re</w:t>
      </w:r>
      <w:r w:rsidR="007A7082">
        <w:rPr>
          <w:rFonts w:ascii="Times New Roman" w:hAnsi="Times New Roman" w:cs="Times New Roman"/>
          <w:sz w:val="24"/>
          <w:szCs w:val="24"/>
        </w:rPr>
        <w:t>marked that</w:t>
      </w:r>
      <w:r w:rsidR="007A7082" w:rsidRPr="00C53AD0">
        <w:rPr>
          <w:rFonts w:ascii="Times New Roman" w:hAnsi="Times New Roman" w:cs="Times New Roman"/>
          <w:sz w:val="24"/>
          <w:szCs w:val="24"/>
        </w:rPr>
        <w:t xml:space="preserve"> the optimal cash reserves is actually significant and positively related to the risk spread</w:t>
      </w:r>
      <w:r w:rsidR="007A7082">
        <w:rPr>
          <w:rFonts w:ascii="Times New Roman" w:hAnsi="Times New Roman" w:cs="Times New Roman"/>
          <w:sz w:val="24"/>
          <w:szCs w:val="24"/>
        </w:rPr>
        <w:t>,</w:t>
      </w:r>
      <w:r w:rsidR="007A7082" w:rsidRPr="00C53AD0">
        <w:rPr>
          <w:rFonts w:ascii="Times New Roman" w:hAnsi="Times New Roman" w:cs="Times New Roman"/>
          <w:sz w:val="24"/>
          <w:szCs w:val="24"/>
        </w:rPr>
        <w:t xml:space="preserve"> and their findings show</w:t>
      </w:r>
      <w:r w:rsidR="007A7082">
        <w:rPr>
          <w:rFonts w:ascii="Times New Roman" w:hAnsi="Times New Roman" w:cs="Times New Roman"/>
          <w:sz w:val="24"/>
          <w:szCs w:val="24"/>
        </w:rPr>
        <w:t>ed</w:t>
      </w:r>
      <w:r w:rsidR="007A7082" w:rsidRPr="00C53AD0">
        <w:rPr>
          <w:rFonts w:ascii="Times New Roman" w:hAnsi="Times New Roman" w:cs="Times New Roman"/>
          <w:sz w:val="24"/>
          <w:szCs w:val="24"/>
        </w:rPr>
        <w:t xml:space="preserve"> stronger evidence toward lower credit ratings. They develop</w:t>
      </w:r>
      <w:r w:rsidR="007A7082">
        <w:rPr>
          <w:rFonts w:ascii="Times New Roman" w:hAnsi="Times New Roman" w:cs="Times New Roman"/>
          <w:sz w:val="24"/>
          <w:szCs w:val="24"/>
        </w:rPr>
        <w:t>ed</w:t>
      </w:r>
      <w:r w:rsidR="007A7082" w:rsidRPr="00C53AD0">
        <w:rPr>
          <w:rFonts w:ascii="Times New Roman" w:hAnsi="Times New Roman" w:cs="Times New Roman"/>
          <w:sz w:val="24"/>
          <w:szCs w:val="24"/>
        </w:rPr>
        <w:t xml:space="preserve"> a regression model of the firm’s endogenous cash policy in the existence of expensive default</w:t>
      </w:r>
      <w:r w:rsidR="007A7082">
        <w:rPr>
          <w:rFonts w:ascii="Times New Roman" w:hAnsi="Times New Roman" w:cs="Times New Roman"/>
          <w:sz w:val="24"/>
          <w:szCs w:val="24"/>
        </w:rPr>
        <w:t>s</w:t>
      </w:r>
      <w:r w:rsidR="007A7082" w:rsidRPr="00C53AD0">
        <w:rPr>
          <w:rFonts w:ascii="Times New Roman" w:hAnsi="Times New Roman" w:cs="Times New Roman"/>
          <w:sz w:val="24"/>
          <w:szCs w:val="24"/>
        </w:rPr>
        <w:t xml:space="preserve"> and</w:t>
      </w:r>
      <w:r w:rsidR="007A7082">
        <w:rPr>
          <w:rFonts w:ascii="Times New Roman" w:hAnsi="Times New Roman" w:cs="Times New Roman"/>
          <w:sz w:val="24"/>
          <w:szCs w:val="24"/>
        </w:rPr>
        <w:t xml:space="preserve"> with</w:t>
      </w:r>
      <w:r w:rsidR="007A7082" w:rsidRPr="00C53AD0">
        <w:rPr>
          <w:rFonts w:ascii="Times New Roman" w:hAnsi="Times New Roman" w:cs="Times New Roman"/>
          <w:sz w:val="24"/>
          <w:szCs w:val="24"/>
        </w:rPr>
        <w:t xml:space="preserve"> limited access t</w:t>
      </w:r>
      <w:r w:rsidR="007A7082">
        <w:rPr>
          <w:rFonts w:ascii="Times New Roman" w:hAnsi="Times New Roman" w:cs="Times New Roman"/>
          <w:sz w:val="24"/>
          <w:szCs w:val="24"/>
        </w:rPr>
        <w:t>o external finance. They stated that a company with</w:t>
      </w:r>
      <w:r w:rsidR="007A7082" w:rsidRPr="00C53AD0">
        <w:rPr>
          <w:rFonts w:ascii="Times New Roman" w:hAnsi="Times New Roman" w:cs="Times New Roman"/>
          <w:sz w:val="24"/>
          <w:szCs w:val="24"/>
        </w:rPr>
        <w:t xml:space="preserve"> lower credit ratings</w:t>
      </w:r>
      <w:r w:rsidR="007A7082">
        <w:rPr>
          <w:rFonts w:ascii="Times New Roman" w:hAnsi="Times New Roman" w:cs="Times New Roman"/>
          <w:sz w:val="24"/>
          <w:szCs w:val="24"/>
        </w:rPr>
        <w:t xml:space="preserve"> that is </w:t>
      </w:r>
      <w:r w:rsidR="007A7082" w:rsidRPr="00C53AD0">
        <w:rPr>
          <w:rFonts w:ascii="Times New Roman" w:hAnsi="Times New Roman" w:cs="Times New Roman"/>
          <w:sz w:val="24"/>
          <w:szCs w:val="24"/>
        </w:rPr>
        <w:t>holding more cash is riskier than other higher rat</w:t>
      </w:r>
      <w:r w:rsidR="007A7082">
        <w:rPr>
          <w:rFonts w:ascii="Times New Roman" w:hAnsi="Times New Roman" w:cs="Times New Roman"/>
          <w:sz w:val="24"/>
          <w:szCs w:val="24"/>
        </w:rPr>
        <w:t xml:space="preserve">ed </w:t>
      </w:r>
      <w:r w:rsidR="007A7082" w:rsidRPr="00C53AD0">
        <w:rPr>
          <w:rFonts w:ascii="Times New Roman" w:hAnsi="Times New Roman" w:cs="Times New Roman"/>
          <w:sz w:val="24"/>
          <w:szCs w:val="24"/>
        </w:rPr>
        <w:t>firms, as they require higher cash level</w:t>
      </w:r>
      <w:r w:rsidR="007A7082">
        <w:rPr>
          <w:rFonts w:ascii="Times New Roman" w:hAnsi="Times New Roman" w:cs="Times New Roman"/>
          <w:sz w:val="24"/>
          <w:szCs w:val="24"/>
        </w:rPr>
        <w:t>s as a</w:t>
      </w:r>
      <w:r w:rsidR="007A7082" w:rsidRPr="00C53AD0">
        <w:rPr>
          <w:rFonts w:ascii="Times New Roman" w:hAnsi="Times New Roman" w:cs="Times New Roman"/>
          <w:sz w:val="24"/>
          <w:szCs w:val="24"/>
        </w:rPr>
        <w:t xml:space="preserve"> precautionary motive. On the </w:t>
      </w:r>
      <w:r w:rsidR="007A7082" w:rsidRPr="00C53AD0">
        <w:rPr>
          <w:rFonts w:ascii="Times New Roman" w:hAnsi="Times New Roman" w:cs="Times New Roman"/>
          <w:sz w:val="24"/>
          <w:szCs w:val="24"/>
        </w:rPr>
        <w:lastRenderedPageBreak/>
        <w:t xml:space="preserve">other hand, spreads are negatively associated </w:t>
      </w:r>
      <w:r w:rsidR="007A7082">
        <w:rPr>
          <w:rFonts w:ascii="Times New Roman" w:hAnsi="Times New Roman" w:cs="Times New Roman"/>
          <w:sz w:val="24"/>
          <w:szCs w:val="24"/>
        </w:rPr>
        <w:t>with cash-holding</w:t>
      </w:r>
      <w:r w:rsidR="007A7082" w:rsidRPr="00C53AD0">
        <w:rPr>
          <w:rFonts w:ascii="Times New Roman" w:hAnsi="Times New Roman" w:cs="Times New Roman"/>
          <w:sz w:val="24"/>
          <w:szCs w:val="24"/>
        </w:rPr>
        <w:t xml:space="preserve"> determinant</w:t>
      </w:r>
      <w:r w:rsidR="007A7082">
        <w:rPr>
          <w:rFonts w:ascii="Times New Roman" w:hAnsi="Times New Roman" w:cs="Times New Roman"/>
          <w:sz w:val="24"/>
          <w:szCs w:val="24"/>
        </w:rPr>
        <w:t>s, which are</w:t>
      </w:r>
      <w:r w:rsidR="007A7082" w:rsidRPr="00C53AD0">
        <w:rPr>
          <w:rFonts w:ascii="Times New Roman" w:hAnsi="Times New Roman" w:cs="Times New Roman"/>
          <w:sz w:val="24"/>
          <w:szCs w:val="24"/>
        </w:rPr>
        <w:t xml:space="preserve"> independent of c</w:t>
      </w:r>
      <w:r w:rsidR="007A7082">
        <w:rPr>
          <w:rFonts w:ascii="Times New Roman" w:hAnsi="Times New Roman" w:cs="Times New Roman"/>
          <w:sz w:val="24"/>
          <w:szCs w:val="24"/>
        </w:rPr>
        <w:t>redit risk factors. T</w:t>
      </w:r>
      <w:r w:rsidR="007A7082" w:rsidRPr="00C53AD0">
        <w:rPr>
          <w:rFonts w:ascii="Times New Roman" w:hAnsi="Times New Roman" w:cs="Times New Roman"/>
          <w:sz w:val="24"/>
          <w:szCs w:val="24"/>
        </w:rPr>
        <w:t>hey</w:t>
      </w:r>
      <w:r w:rsidR="007A7082">
        <w:rPr>
          <w:rFonts w:ascii="Times New Roman" w:hAnsi="Times New Roman" w:cs="Times New Roman"/>
          <w:sz w:val="24"/>
          <w:szCs w:val="24"/>
        </w:rPr>
        <w:t xml:space="preserve"> thus</w:t>
      </w:r>
      <w:r w:rsidR="007A7082" w:rsidRPr="00C53AD0">
        <w:rPr>
          <w:rFonts w:ascii="Times New Roman" w:hAnsi="Times New Roman" w:cs="Times New Roman"/>
          <w:sz w:val="24"/>
          <w:szCs w:val="24"/>
        </w:rPr>
        <w:t xml:space="preserve"> conclude</w:t>
      </w:r>
      <w:r w:rsidR="007A7082">
        <w:rPr>
          <w:rFonts w:ascii="Times New Roman" w:hAnsi="Times New Roman" w:cs="Times New Roman"/>
          <w:sz w:val="24"/>
          <w:szCs w:val="24"/>
        </w:rPr>
        <w:t>d</w:t>
      </w:r>
      <w:r w:rsidR="007A7082" w:rsidRPr="00C53AD0">
        <w:rPr>
          <w:rFonts w:ascii="Times New Roman" w:hAnsi="Times New Roman" w:cs="Times New Roman"/>
          <w:sz w:val="24"/>
          <w:szCs w:val="24"/>
        </w:rPr>
        <w:t xml:space="preserve"> that corporate liquidity positively respond</w:t>
      </w:r>
      <w:r w:rsidR="007A7082">
        <w:rPr>
          <w:rFonts w:ascii="Times New Roman" w:hAnsi="Times New Roman" w:cs="Times New Roman"/>
          <w:sz w:val="24"/>
          <w:szCs w:val="24"/>
        </w:rPr>
        <w:t xml:space="preserve">s </w:t>
      </w:r>
      <w:r w:rsidR="007A7082" w:rsidRPr="00C53AD0">
        <w:rPr>
          <w:rFonts w:ascii="Times New Roman" w:hAnsi="Times New Roman" w:cs="Times New Roman"/>
          <w:sz w:val="24"/>
          <w:szCs w:val="24"/>
        </w:rPr>
        <w:t>to both credit spreads</w:t>
      </w:r>
      <w:r w:rsidR="007A7082">
        <w:rPr>
          <w:rFonts w:ascii="Times New Roman" w:hAnsi="Times New Roman" w:cs="Times New Roman"/>
          <w:sz w:val="24"/>
          <w:szCs w:val="24"/>
        </w:rPr>
        <w:t xml:space="preserve"> </w:t>
      </w:r>
      <w:r w:rsidR="007A7082" w:rsidRPr="00C53AD0">
        <w:rPr>
          <w:rFonts w:ascii="Times New Roman" w:hAnsi="Times New Roman" w:cs="Times New Roman"/>
          <w:sz w:val="24"/>
          <w:szCs w:val="24"/>
        </w:rPr>
        <w:t>and the</w:t>
      </w:r>
      <w:r w:rsidR="007A7082" w:rsidRPr="00F90DFC">
        <w:rPr>
          <w:rFonts w:ascii="Times New Roman" w:hAnsi="Times New Roman" w:cs="Times New Roman"/>
          <w:sz w:val="24"/>
          <w:szCs w:val="24"/>
        </w:rPr>
        <w:t xml:space="preserve"> </w:t>
      </w:r>
      <w:r w:rsidR="007A7082" w:rsidRPr="00C53AD0">
        <w:rPr>
          <w:rFonts w:ascii="Times New Roman" w:hAnsi="Times New Roman" w:cs="Times New Roman"/>
          <w:sz w:val="24"/>
          <w:szCs w:val="24"/>
        </w:rPr>
        <w:t>probability</w:t>
      </w:r>
      <w:r w:rsidR="007A7082">
        <w:rPr>
          <w:rFonts w:ascii="Times New Roman" w:hAnsi="Times New Roman" w:cs="Times New Roman"/>
          <w:sz w:val="24"/>
          <w:szCs w:val="24"/>
        </w:rPr>
        <w:t xml:space="preserve"> of long-term default. Thus</w:t>
      </w:r>
      <w:r w:rsidR="007A7082" w:rsidRPr="00C53AD0">
        <w:rPr>
          <w:rFonts w:ascii="Times New Roman" w:hAnsi="Times New Roman" w:cs="Times New Roman"/>
          <w:sz w:val="24"/>
          <w:szCs w:val="24"/>
        </w:rPr>
        <w:t xml:space="preserve"> higher cash holdings</w:t>
      </w:r>
      <w:r w:rsidR="007A7082">
        <w:rPr>
          <w:rFonts w:ascii="Times New Roman" w:hAnsi="Times New Roman" w:cs="Times New Roman"/>
          <w:sz w:val="24"/>
          <w:szCs w:val="24"/>
        </w:rPr>
        <w:t xml:space="preserve"> are</w:t>
      </w:r>
      <w:r w:rsidR="007A7082" w:rsidRPr="00C53AD0">
        <w:rPr>
          <w:rFonts w:ascii="Times New Roman" w:hAnsi="Times New Roman" w:cs="Times New Roman"/>
          <w:sz w:val="24"/>
          <w:szCs w:val="24"/>
        </w:rPr>
        <w:t xml:space="preserve"> explained by</w:t>
      </w:r>
      <w:r w:rsidR="007A7082">
        <w:rPr>
          <w:rFonts w:ascii="Times New Roman" w:hAnsi="Times New Roman" w:cs="Times New Roman"/>
          <w:sz w:val="24"/>
          <w:szCs w:val="24"/>
        </w:rPr>
        <w:t xml:space="preserve"> a</w:t>
      </w:r>
      <w:r w:rsidR="007A7082" w:rsidRPr="00C53AD0">
        <w:rPr>
          <w:rFonts w:ascii="Times New Roman" w:hAnsi="Times New Roman" w:cs="Times New Roman"/>
          <w:sz w:val="24"/>
          <w:szCs w:val="24"/>
        </w:rPr>
        <w:t xml:space="preserve"> higher credit risk. Firms with</w:t>
      </w:r>
      <w:r w:rsidR="007A7082">
        <w:rPr>
          <w:rFonts w:ascii="Times New Roman" w:hAnsi="Times New Roman" w:cs="Times New Roman"/>
          <w:sz w:val="24"/>
          <w:szCs w:val="24"/>
        </w:rPr>
        <w:t xml:space="preserve"> a</w:t>
      </w:r>
      <w:r w:rsidR="007A7082" w:rsidRPr="00C53AD0">
        <w:rPr>
          <w:rFonts w:ascii="Times New Roman" w:hAnsi="Times New Roman" w:cs="Times New Roman"/>
          <w:sz w:val="24"/>
          <w:szCs w:val="24"/>
        </w:rPr>
        <w:t xml:space="preserve"> higher requirement for precautionary savings are expected to tolerate </w:t>
      </w:r>
      <w:r w:rsidR="007A7082">
        <w:rPr>
          <w:rFonts w:ascii="Times New Roman" w:hAnsi="Times New Roman" w:cs="Times New Roman"/>
          <w:sz w:val="24"/>
          <w:szCs w:val="24"/>
        </w:rPr>
        <w:t>a</w:t>
      </w:r>
      <w:r w:rsidR="007A7082" w:rsidRPr="00C53AD0">
        <w:rPr>
          <w:rFonts w:ascii="Times New Roman" w:hAnsi="Times New Roman" w:cs="Times New Roman"/>
          <w:sz w:val="24"/>
          <w:szCs w:val="24"/>
        </w:rPr>
        <w:t xml:space="preserve"> higher risk</w:t>
      </w:r>
      <w:r w:rsidR="007A7082">
        <w:rPr>
          <w:rFonts w:ascii="Times New Roman" w:hAnsi="Times New Roman" w:cs="Times New Roman"/>
          <w:sz w:val="24"/>
          <w:szCs w:val="24"/>
        </w:rPr>
        <w:t xml:space="preserve"> compared with </w:t>
      </w:r>
      <w:r w:rsidR="007A7082" w:rsidRPr="00C53AD0">
        <w:rPr>
          <w:rFonts w:ascii="Times New Roman" w:hAnsi="Times New Roman" w:cs="Times New Roman"/>
          <w:sz w:val="24"/>
          <w:szCs w:val="24"/>
        </w:rPr>
        <w:t>others and</w:t>
      </w:r>
      <w:r w:rsidR="007A7082">
        <w:rPr>
          <w:rFonts w:ascii="Times New Roman" w:hAnsi="Times New Roman" w:cs="Times New Roman"/>
          <w:sz w:val="24"/>
          <w:szCs w:val="24"/>
        </w:rPr>
        <w:t xml:space="preserve"> also to</w:t>
      </w:r>
      <w:r w:rsidR="007A7082" w:rsidRPr="00C53AD0">
        <w:rPr>
          <w:rFonts w:ascii="Times New Roman" w:hAnsi="Times New Roman" w:cs="Times New Roman"/>
          <w:sz w:val="24"/>
          <w:szCs w:val="24"/>
        </w:rPr>
        <w:t xml:space="preserve"> face a higher probability of default. </w:t>
      </w:r>
    </w:p>
    <w:p w:rsidR="007A7082" w:rsidRPr="00C53AD0" w:rsidRDefault="007A7082" w:rsidP="00EF351B">
      <w:pPr>
        <w:tabs>
          <w:tab w:val="left" w:pos="810"/>
        </w:tabs>
        <w:spacing w:line="480" w:lineRule="auto"/>
        <w:ind w:firstLine="720"/>
        <w:jc w:val="both"/>
        <w:rPr>
          <w:rFonts w:ascii="Times New Roman" w:hAnsi="Times New Roman" w:cs="Times New Roman"/>
          <w:sz w:val="24"/>
          <w:szCs w:val="24"/>
        </w:rPr>
      </w:pPr>
      <w:r w:rsidRPr="00C53AD0">
        <w:rPr>
          <w:rFonts w:ascii="Times New Roman" w:hAnsi="Times New Roman" w:cs="Times New Roman"/>
          <w:sz w:val="24"/>
          <w:szCs w:val="24"/>
        </w:rPr>
        <w:t xml:space="preserve">Besides, </w:t>
      </w:r>
      <w:r>
        <w:rPr>
          <w:rFonts w:ascii="Times New Roman" w:hAnsi="Times New Roman" w:cs="Times New Roman"/>
          <w:sz w:val="24"/>
          <w:szCs w:val="24"/>
        </w:rPr>
        <w:t xml:space="preserve">as revealed in one of the </w:t>
      </w:r>
      <w:r w:rsidRPr="00C53AD0">
        <w:rPr>
          <w:rFonts w:ascii="Times New Roman" w:hAnsi="Times New Roman" w:cs="Times New Roman"/>
          <w:sz w:val="24"/>
          <w:szCs w:val="24"/>
        </w:rPr>
        <w:t>latest stud</w:t>
      </w:r>
      <w:r>
        <w:rPr>
          <w:rFonts w:ascii="Times New Roman" w:hAnsi="Times New Roman" w:cs="Times New Roman"/>
          <w:sz w:val="24"/>
          <w:szCs w:val="24"/>
        </w:rPr>
        <w:t xml:space="preserve">ies </w:t>
      </w:r>
      <w:r w:rsidRPr="00C53AD0">
        <w:rPr>
          <w:rFonts w:ascii="Times New Roman" w:hAnsi="Times New Roman" w:cs="Times New Roman"/>
          <w:sz w:val="24"/>
          <w:szCs w:val="24"/>
        </w:rPr>
        <w:t xml:space="preserve">by Arnold (2014) </w:t>
      </w:r>
      <w:r>
        <w:rPr>
          <w:rFonts w:ascii="Times New Roman" w:hAnsi="Times New Roman" w:cs="Times New Roman"/>
          <w:sz w:val="24"/>
          <w:szCs w:val="24"/>
        </w:rPr>
        <w:t>concerning the</w:t>
      </w:r>
      <w:r w:rsidRPr="00C53AD0">
        <w:rPr>
          <w:rFonts w:ascii="Times New Roman" w:hAnsi="Times New Roman" w:cs="Times New Roman"/>
          <w:sz w:val="24"/>
          <w:szCs w:val="24"/>
        </w:rPr>
        <w:t xml:space="preserve"> role of cash holdings and bankruptcy risk</w:t>
      </w:r>
      <w:r>
        <w:rPr>
          <w:rFonts w:ascii="Times New Roman" w:hAnsi="Times New Roman" w:cs="Times New Roman"/>
          <w:sz w:val="24"/>
          <w:szCs w:val="24"/>
        </w:rPr>
        <w:t>,</w:t>
      </w:r>
      <w:r w:rsidRPr="00C53AD0">
        <w:rPr>
          <w:rFonts w:ascii="Times New Roman" w:hAnsi="Times New Roman" w:cs="Times New Roman"/>
          <w:sz w:val="24"/>
          <w:szCs w:val="24"/>
        </w:rPr>
        <w:t xml:space="preserve"> cash can help in defer</w:t>
      </w:r>
      <w:r>
        <w:rPr>
          <w:rFonts w:ascii="Times New Roman" w:hAnsi="Times New Roman" w:cs="Times New Roman"/>
          <w:sz w:val="24"/>
          <w:szCs w:val="24"/>
        </w:rPr>
        <w:t>ring</w:t>
      </w:r>
      <w:r w:rsidRPr="00C53AD0">
        <w:rPr>
          <w:rFonts w:ascii="Times New Roman" w:hAnsi="Times New Roman" w:cs="Times New Roman"/>
          <w:sz w:val="24"/>
          <w:szCs w:val="24"/>
        </w:rPr>
        <w:t xml:space="preserve"> bankruptcy by provid</w:t>
      </w:r>
      <w:r>
        <w:rPr>
          <w:rFonts w:ascii="Times New Roman" w:hAnsi="Times New Roman" w:cs="Times New Roman"/>
          <w:sz w:val="24"/>
          <w:szCs w:val="24"/>
        </w:rPr>
        <w:t xml:space="preserve">ing a </w:t>
      </w:r>
      <w:r w:rsidRPr="00C53AD0">
        <w:rPr>
          <w:rFonts w:ascii="Times New Roman" w:hAnsi="Times New Roman" w:cs="Times New Roman"/>
          <w:sz w:val="24"/>
          <w:szCs w:val="24"/>
        </w:rPr>
        <w:t>firm</w:t>
      </w:r>
      <w:r>
        <w:rPr>
          <w:rFonts w:ascii="Times New Roman" w:hAnsi="Times New Roman" w:cs="Times New Roman"/>
          <w:sz w:val="24"/>
          <w:szCs w:val="24"/>
        </w:rPr>
        <w:t xml:space="preserve"> with</w:t>
      </w:r>
      <w:r w:rsidRPr="00C53AD0">
        <w:rPr>
          <w:rFonts w:ascii="Times New Roman" w:hAnsi="Times New Roman" w:cs="Times New Roman"/>
          <w:sz w:val="24"/>
          <w:szCs w:val="24"/>
        </w:rPr>
        <w:t xml:space="preserve"> sufficient liquidity to buffer against insolvency during difficult period</w:t>
      </w:r>
      <w:r>
        <w:rPr>
          <w:rFonts w:ascii="Times New Roman" w:hAnsi="Times New Roman" w:cs="Times New Roman"/>
          <w:sz w:val="24"/>
          <w:szCs w:val="24"/>
        </w:rPr>
        <w:t>s</w:t>
      </w:r>
      <w:r w:rsidRPr="00C53AD0">
        <w:rPr>
          <w:rFonts w:ascii="Times New Roman" w:hAnsi="Times New Roman" w:cs="Times New Roman"/>
          <w:sz w:val="24"/>
          <w:szCs w:val="24"/>
        </w:rPr>
        <w:t xml:space="preserve">. However, cash </w:t>
      </w:r>
      <w:r>
        <w:rPr>
          <w:rFonts w:ascii="Times New Roman" w:hAnsi="Times New Roman" w:cs="Times New Roman"/>
          <w:sz w:val="24"/>
          <w:szCs w:val="24"/>
        </w:rPr>
        <w:t>may</w:t>
      </w:r>
      <w:r w:rsidRPr="00C53AD0">
        <w:rPr>
          <w:rFonts w:ascii="Times New Roman" w:hAnsi="Times New Roman" w:cs="Times New Roman"/>
          <w:sz w:val="24"/>
          <w:szCs w:val="24"/>
        </w:rPr>
        <w:t xml:space="preserve"> make </w:t>
      </w:r>
      <w:r>
        <w:rPr>
          <w:rFonts w:ascii="Times New Roman" w:hAnsi="Times New Roman" w:cs="Times New Roman"/>
          <w:sz w:val="24"/>
          <w:szCs w:val="24"/>
        </w:rPr>
        <w:t>a</w:t>
      </w:r>
      <w:r w:rsidRPr="00C53AD0">
        <w:rPr>
          <w:rFonts w:ascii="Times New Roman" w:hAnsi="Times New Roman" w:cs="Times New Roman"/>
          <w:sz w:val="24"/>
          <w:szCs w:val="24"/>
        </w:rPr>
        <w:t xml:space="preserve"> financial condition worse</w:t>
      </w:r>
      <w:r>
        <w:rPr>
          <w:rFonts w:ascii="Times New Roman" w:hAnsi="Times New Roman" w:cs="Times New Roman"/>
          <w:sz w:val="24"/>
          <w:szCs w:val="24"/>
        </w:rPr>
        <w:t xml:space="preserve"> when a lower number of </w:t>
      </w:r>
      <w:r w:rsidRPr="00C53AD0">
        <w:rPr>
          <w:rFonts w:ascii="Times New Roman" w:hAnsi="Times New Roman" w:cs="Times New Roman"/>
          <w:sz w:val="24"/>
          <w:szCs w:val="24"/>
        </w:rPr>
        <w:t>shareholders</w:t>
      </w:r>
      <w:r>
        <w:rPr>
          <w:rFonts w:ascii="Times New Roman" w:hAnsi="Times New Roman" w:cs="Times New Roman"/>
          <w:sz w:val="24"/>
          <w:szCs w:val="24"/>
        </w:rPr>
        <w:t xml:space="preserve"> are</w:t>
      </w:r>
      <w:r w:rsidRPr="00C53AD0">
        <w:rPr>
          <w:rFonts w:ascii="Times New Roman" w:hAnsi="Times New Roman" w:cs="Times New Roman"/>
          <w:sz w:val="24"/>
          <w:szCs w:val="24"/>
        </w:rPr>
        <w:t xml:space="preserve"> willing to offer external funding to </w:t>
      </w:r>
      <w:r>
        <w:rPr>
          <w:rFonts w:ascii="Times New Roman" w:hAnsi="Times New Roman" w:cs="Times New Roman"/>
          <w:sz w:val="24"/>
          <w:szCs w:val="24"/>
        </w:rPr>
        <w:t>a</w:t>
      </w:r>
      <w:r w:rsidRPr="00C53AD0">
        <w:rPr>
          <w:rFonts w:ascii="Times New Roman" w:hAnsi="Times New Roman" w:cs="Times New Roman"/>
          <w:sz w:val="24"/>
          <w:szCs w:val="24"/>
        </w:rPr>
        <w:t xml:space="preserve"> firm</w:t>
      </w:r>
      <w:r>
        <w:rPr>
          <w:rFonts w:ascii="Times New Roman" w:hAnsi="Times New Roman" w:cs="Times New Roman"/>
          <w:sz w:val="24"/>
          <w:szCs w:val="24"/>
        </w:rPr>
        <w:t>; this may be due to the availability of cash-holding</w:t>
      </w:r>
      <w:r w:rsidRPr="00C53AD0">
        <w:rPr>
          <w:rFonts w:ascii="Times New Roman" w:hAnsi="Times New Roman" w:cs="Times New Roman"/>
          <w:sz w:val="24"/>
          <w:szCs w:val="24"/>
        </w:rPr>
        <w:t xml:space="preserve"> readiness</w:t>
      </w:r>
      <w:r>
        <w:rPr>
          <w:rFonts w:ascii="Times New Roman" w:hAnsi="Times New Roman" w:cs="Times New Roman"/>
          <w:sz w:val="24"/>
          <w:szCs w:val="24"/>
        </w:rPr>
        <w:t xml:space="preserve">, </w:t>
      </w:r>
      <w:r w:rsidRPr="00C53AD0">
        <w:rPr>
          <w:rFonts w:ascii="Times New Roman" w:hAnsi="Times New Roman" w:cs="Times New Roman"/>
          <w:sz w:val="24"/>
          <w:szCs w:val="24"/>
        </w:rPr>
        <w:t>thus</w:t>
      </w:r>
      <w:r>
        <w:rPr>
          <w:rFonts w:ascii="Times New Roman" w:hAnsi="Times New Roman" w:cs="Times New Roman"/>
          <w:sz w:val="24"/>
          <w:szCs w:val="24"/>
        </w:rPr>
        <w:t xml:space="preserve"> </w:t>
      </w:r>
      <w:r w:rsidRPr="00C53AD0">
        <w:rPr>
          <w:rFonts w:ascii="Times New Roman" w:hAnsi="Times New Roman" w:cs="Times New Roman"/>
          <w:sz w:val="24"/>
          <w:szCs w:val="24"/>
        </w:rPr>
        <w:t>increas</w:t>
      </w:r>
      <w:r>
        <w:rPr>
          <w:rFonts w:ascii="Times New Roman" w:hAnsi="Times New Roman" w:cs="Times New Roman"/>
          <w:sz w:val="24"/>
          <w:szCs w:val="24"/>
        </w:rPr>
        <w:t xml:space="preserve">ing the risk of </w:t>
      </w:r>
      <w:r w:rsidRPr="00C53AD0">
        <w:rPr>
          <w:rFonts w:ascii="Times New Roman" w:hAnsi="Times New Roman" w:cs="Times New Roman"/>
          <w:sz w:val="24"/>
          <w:szCs w:val="24"/>
        </w:rPr>
        <w:t xml:space="preserve">bankruptcy. The impact </w:t>
      </w:r>
      <w:r>
        <w:rPr>
          <w:rFonts w:ascii="Times New Roman" w:hAnsi="Times New Roman" w:cs="Times New Roman"/>
          <w:sz w:val="24"/>
          <w:szCs w:val="24"/>
        </w:rPr>
        <w:t>of</w:t>
      </w:r>
      <w:r w:rsidRPr="00C53AD0">
        <w:rPr>
          <w:rFonts w:ascii="Times New Roman" w:hAnsi="Times New Roman" w:cs="Times New Roman"/>
          <w:sz w:val="24"/>
          <w:szCs w:val="24"/>
        </w:rPr>
        <w:t xml:space="preserve"> cash holdings on bankruptcy risk depends on </w:t>
      </w:r>
      <w:r>
        <w:rPr>
          <w:rFonts w:ascii="Times New Roman" w:hAnsi="Times New Roman" w:cs="Times New Roman"/>
          <w:sz w:val="24"/>
          <w:szCs w:val="24"/>
        </w:rPr>
        <w:t>the</w:t>
      </w:r>
      <w:r w:rsidRPr="00C53AD0">
        <w:rPr>
          <w:rFonts w:ascii="Times New Roman" w:hAnsi="Times New Roman" w:cs="Times New Roman"/>
          <w:sz w:val="24"/>
          <w:szCs w:val="24"/>
        </w:rPr>
        <w:t xml:space="preserve"> characteristics </w:t>
      </w:r>
      <w:r>
        <w:rPr>
          <w:rFonts w:ascii="Times New Roman" w:hAnsi="Times New Roman" w:cs="Times New Roman"/>
          <w:sz w:val="24"/>
          <w:szCs w:val="24"/>
        </w:rPr>
        <w:t xml:space="preserve">of the firm and industry </w:t>
      </w:r>
      <w:r w:rsidRPr="00C53AD0">
        <w:rPr>
          <w:rFonts w:ascii="Times New Roman" w:hAnsi="Times New Roman" w:cs="Times New Roman"/>
          <w:sz w:val="24"/>
          <w:szCs w:val="24"/>
        </w:rPr>
        <w:t xml:space="preserve">that influence the relative significance of these two reactions. Other than credit risk, the </w:t>
      </w:r>
      <w:r>
        <w:rPr>
          <w:rFonts w:ascii="Times New Roman" w:hAnsi="Times New Roman" w:cs="Times New Roman"/>
          <w:sz w:val="24"/>
          <w:szCs w:val="24"/>
        </w:rPr>
        <w:t>cash-holding</w:t>
      </w:r>
      <w:r w:rsidRPr="00C53AD0">
        <w:rPr>
          <w:rFonts w:ascii="Times New Roman" w:hAnsi="Times New Roman" w:cs="Times New Roman"/>
          <w:sz w:val="24"/>
          <w:szCs w:val="24"/>
        </w:rPr>
        <w:t xml:space="preserve"> level is influence</w:t>
      </w:r>
      <w:r>
        <w:rPr>
          <w:rFonts w:ascii="Times New Roman" w:hAnsi="Times New Roman" w:cs="Times New Roman"/>
          <w:sz w:val="24"/>
          <w:szCs w:val="24"/>
        </w:rPr>
        <w:t>d</w:t>
      </w:r>
      <w:r w:rsidRPr="00C53AD0">
        <w:rPr>
          <w:rFonts w:ascii="Times New Roman" w:hAnsi="Times New Roman" w:cs="Times New Roman"/>
          <w:sz w:val="24"/>
          <w:szCs w:val="24"/>
        </w:rPr>
        <w:t xml:space="preserve"> by cost of capital that</w:t>
      </w:r>
      <w:r>
        <w:rPr>
          <w:rFonts w:ascii="Times New Roman" w:hAnsi="Times New Roman" w:cs="Times New Roman"/>
          <w:sz w:val="24"/>
          <w:szCs w:val="24"/>
        </w:rPr>
        <w:t xml:space="preserve"> is</w:t>
      </w:r>
      <w:r w:rsidRPr="00C53AD0">
        <w:rPr>
          <w:rFonts w:ascii="Times New Roman" w:hAnsi="Times New Roman" w:cs="Times New Roman"/>
          <w:sz w:val="24"/>
          <w:szCs w:val="24"/>
        </w:rPr>
        <w:t xml:space="preserve"> incurred when</w:t>
      </w:r>
      <w:r>
        <w:rPr>
          <w:rFonts w:ascii="Times New Roman" w:hAnsi="Times New Roman" w:cs="Times New Roman"/>
          <w:sz w:val="24"/>
          <w:szCs w:val="24"/>
        </w:rPr>
        <w:t xml:space="preserve"> there are insufficient liquid assets</w:t>
      </w:r>
      <w:r w:rsidRPr="00C53AD0">
        <w:rPr>
          <w:rFonts w:ascii="Times New Roman" w:hAnsi="Times New Roman" w:cs="Times New Roman"/>
          <w:sz w:val="24"/>
          <w:szCs w:val="24"/>
        </w:rPr>
        <w:t xml:space="preserve"> to finance </w:t>
      </w:r>
      <w:r>
        <w:rPr>
          <w:rFonts w:ascii="Times New Roman" w:hAnsi="Times New Roman" w:cs="Times New Roman"/>
          <w:sz w:val="24"/>
          <w:szCs w:val="24"/>
        </w:rPr>
        <w:t>a firm’s</w:t>
      </w:r>
      <w:r w:rsidRPr="00C53AD0">
        <w:rPr>
          <w:rFonts w:ascii="Times New Roman" w:hAnsi="Times New Roman" w:cs="Times New Roman"/>
          <w:sz w:val="24"/>
          <w:szCs w:val="24"/>
        </w:rPr>
        <w:t xml:space="preserve"> obligation</w:t>
      </w:r>
      <w:r>
        <w:rPr>
          <w:rFonts w:ascii="Times New Roman" w:hAnsi="Times New Roman" w:cs="Times New Roman"/>
          <w:sz w:val="24"/>
          <w:szCs w:val="24"/>
        </w:rPr>
        <w:t>s</w:t>
      </w:r>
      <w:r w:rsidRPr="00C53AD0">
        <w:rPr>
          <w:rFonts w:ascii="Times New Roman" w:hAnsi="Times New Roman" w:cs="Times New Roman"/>
          <w:sz w:val="24"/>
          <w:szCs w:val="24"/>
        </w:rPr>
        <w:t>. The increase in cost of capital burden</w:t>
      </w:r>
      <w:r>
        <w:rPr>
          <w:rFonts w:ascii="Times New Roman" w:hAnsi="Times New Roman" w:cs="Times New Roman"/>
          <w:sz w:val="24"/>
          <w:szCs w:val="24"/>
        </w:rPr>
        <w:t>s</w:t>
      </w:r>
      <w:r w:rsidRPr="00C53AD0">
        <w:rPr>
          <w:rFonts w:ascii="Times New Roman" w:hAnsi="Times New Roman" w:cs="Times New Roman"/>
          <w:sz w:val="24"/>
          <w:szCs w:val="24"/>
        </w:rPr>
        <w:t xml:space="preserve"> the cash flow</w:t>
      </w:r>
      <w:r>
        <w:rPr>
          <w:rFonts w:ascii="Times New Roman" w:hAnsi="Times New Roman" w:cs="Times New Roman"/>
          <w:sz w:val="24"/>
          <w:szCs w:val="24"/>
        </w:rPr>
        <w:t>, and may lead to a h</w:t>
      </w:r>
      <w:r w:rsidRPr="00C53AD0">
        <w:rPr>
          <w:rFonts w:ascii="Times New Roman" w:hAnsi="Times New Roman" w:cs="Times New Roman"/>
          <w:sz w:val="24"/>
          <w:szCs w:val="24"/>
        </w:rPr>
        <w:t>igher liquidity risk due to</w:t>
      </w:r>
      <w:r>
        <w:rPr>
          <w:rFonts w:ascii="Times New Roman" w:hAnsi="Times New Roman" w:cs="Times New Roman"/>
          <w:sz w:val="24"/>
          <w:szCs w:val="24"/>
        </w:rPr>
        <w:t xml:space="preserve"> the</w:t>
      </w:r>
      <w:r w:rsidRPr="00C53AD0">
        <w:rPr>
          <w:rFonts w:ascii="Times New Roman" w:hAnsi="Times New Roman" w:cs="Times New Roman"/>
          <w:sz w:val="24"/>
          <w:szCs w:val="24"/>
        </w:rPr>
        <w:t xml:space="preserve"> uncertainty</w:t>
      </w:r>
      <w:r>
        <w:rPr>
          <w:rFonts w:ascii="Times New Roman" w:hAnsi="Times New Roman" w:cs="Times New Roman"/>
          <w:sz w:val="24"/>
          <w:szCs w:val="24"/>
        </w:rPr>
        <w:t xml:space="preserve"> of</w:t>
      </w:r>
      <w:r w:rsidRPr="00C53AD0">
        <w:rPr>
          <w:rFonts w:ascii="Times New Roman" w:hAnsi="Times New Roman" w:cs="Times New Roman"/>
          <w:sz w:val="24"/>
          <w:szCs w:val="24"/>
        </w:rPr>
        <w:t xml:space="preserve"> cash outflow in</w:t>
      </w:r>
      <w:r>
        <w:rPr>
          <w:rFonts w:ascii="Times New Roman" w:hAnsi="Times New Roman" w:cs="Times New Roman"/>
          <w:sz w:val="24"/>
          <w:szCs w:val="24"/>
        </w:rPr>
        <w:t xml:space="preserve"> the future. Therefore</w:t>
      </w:r>
      <w:r w:rsidRPr="00C53AD0">
        <w:rPr>
          <w:rFonts w:ascii="Times New Roman" w:hAnsi="Times New Roman" w:cs="Times New Roman"/>
          <w:sz w:val="24"/>
          <w:szCs w:val="24"/>
        </w:rPr>
        <w:t xml:space="preserve"> the rise in liquidity risk will lead to</w:t>
      </w:r>
      <w:r>
        <w:rPr>
          <w:rFonts w:ascii="Times New Roman" w:hAnsi="Times New Roman" w:cs="Times New Roman"/>
          <w:sz w:val="24"/>
          <w:szCs w:val="24"/>
        </w:rPr>
        <w:t xml:space="preserve"> a</w:t>
      </w:r>
      <w:r w:rsidRPr="00C53AD0">
        <w:rPr>
          <w:rFonts w:ascii="Times New Roman" w:hAnsi="Times New Roman" w:cs="Times New Roman"/>
          <w:sz w:val="24"/>
          <w:szCs w:val="24"/>
        </w:rPr>
        <w:t xml:space="preserve"> higher need </w:t>
      </w:r>
      <w:r>
        <w:rPr>
          <w:rFonts w:ascii="Times New Roman" w:hAnsi="Times New Roman" w:cs="Times New Roman"/>
          <w:sz w:val="24"/>
          <w:szCs w:val="24"/>
        </w:rPr>
        <w:t>for</w:t>
      </w:r>
      <w:r w:rsidRPr="00C53AD0">
        <w:rPr>
          <w:rFonts w:ascii="Times New Roman" w:hAnsi="Times New Roman" w:cs="Times New Roman"/>
          <w:sz w:val="24"/>
          <w:szCs w:val="24"/>
        </w:rPr>
        <w:t xml:space="preserve"> holding more cash (</w:t>
      </w:r>
      <w:proofErr w:type="spellStart"/>
      <w:r w:rsidRPr="00C53AD0">
        <w:rPr>
          <w:rFonts w:ascii="Times New Roman" w:hAnsi="Times New Roman" w:cs="Times New Roman"/>
          <w:sz w:val="24"/>
          <w:szCs w:val="24"/>
        </w:rPr>
        <w:t>Guldimann</w:t>
      </w:r>
      <w:proofErr w:type="spellEnd"/>
      <w:r w:rsidRPr="00C53AD0">
        <w:rPr>
          <w:rFonts w:ascii="Times New Roman" w:hAnsi="Times New Roman" w:cs="Times New Roman"/>
          <w:sz w:val="24"/>
          <w:szCs w:val="24"/>
        </w:rPr>
        <w:t>, 1994).</w:t>
      </w:r>
    </w:p>
    <w:p w:rsidR="004116D4" w:rsidRDefault="007A7082" w:rsidP="00050A1E">
      <w:pPr>
        <w:tabs>
          <w:tab w:val="left" w:pos="810"/>
        </w:tabs>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Mamdouh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Medhata</w:t>
      </w:r>
      <w:proofErr w:type="spellEnd"/>
      <w:r>
        <w:rPr>
          <w:rFonts w:ascii="Times New Roman" w:hAnsi="Times New Roman" w:cs="Times New Roman"/>
          <w:sz w:val="24"/>
          <w:szCs w:val="24"/>
        </w:rPr>
        <w:t xml:space="preserve"> (2014) studied</w:t>
      </w:r>
      <w:r w:rsidRPr="00C53AD0">
        <w:rPr>
          <w:rFonts w:ascii="Times New Roman" w:hAnsi="Times New Roman" w:cs="Times New Roman"/>
          <w:sz w:val="24"/>
          <w:szCs w:val="24"/>
        </w:rPr>
        <w:t xml:space="preserve"> the default leve</w:t>
      </w:r>
      <w:r>
        <w:rPr>
          <w:rFonts w:ascii="Times New Roman" w:hAnsi="Times New Roman" w:cs="Times New Roman"/>
          <w:sz w:val="24"/>
          <w:szCs w:val="24"/>
        </w:rPr>
        <w:t xml:space="preserve">ls </w:t>
      </w:r>
      <w:r w:rsidRPr="00C53AD0">
        <w:rPr>
          <w:rFonts w:ascii="Times New Roman" w:hAnsi="Times New Roman" w:cs="Times New Roman"/>
          <w:sz w:val="24"/>
          <w:szCs w:val="24"/>
        </w:rPr>
        <w:t>and financing constraints</w:t>
      </w:r>
      <w:r>
        <w:rPr>
          <w:rFonts w:ascii="Times New Roman" w:hAnsi="Times New Roman" w:cs="Times New Roman"/>
          <w:sz w:val="24"/>
          <w:szCs w:val="24"/>
        </w:rPr>
        <w:t xml:space="preserve"> for</w:t>
      </w:r>
      <w:r w:rsidRPr="00C53AD0">
        <w:rPr>
          <w:rFonts w:ascii="Times New Roman" w:hAnsi="Times New Roman" w:cs="Times New Roman"/>
          <w:sz w:val="24"/>
          <w:szCs w:val="24"/>
        </w:rPr>
        <w:t xml:space="preserve"> firms,</w:t>
      </w:r>
      <w:r>
        <w:rPr>
          <w:rFonts w:ascii="Times New Roman" w:hAnsi="Times New Roman" w:cs="Times New Roman"/>
          <w:sz w:val="24"/>
          <w:szCs w:val="24"/>
        </w:rPr>
        <w:t xml:space="preserve"> as liquidity and solvency factors</w:t>
      </w:r>
      <w:r w:rsidRPr="00C53AD0">
        <w:rPr>
          <w:rFonts w:ascii="Times New Roman" w:hAnsi="Times New Roman" w:cs="Times New Roman"/>
          <w:sz w:val="24"/>
          <w:szCs w:val="24"/>
        </w:rPr>
        <w:t xml:space="preserve"> have</w:t>
      </w:r>
      <w:r>
        <w:rPr>
          <w:rFonts w:ascii="Times New Roman" w:hAnsi="Times New Roman" w:cs="Times New Roman"/>
          <w:sz w:val="24"/>
          <w:szCs w:val="24"/>
        </w:rPr>
        <w:t xml:space="preserve"> already been investigated. He concluded that leveraged</w:t>
      </w:r>
      <w:r w:rsidRPr="00C53AD0">
        <w:rPr>
          <w:rFonts w:ascii="Times New Roman" w:hAnsi="Times New Roman" w:cs="Times New Roman"/>
          <w:sz w:val="24"/>
          <w:szCs w:val="24"/>
        </w:rPr>
        <w:t xml:space="preserve"> firms tend to minimize liquidity risk by controlling the</w:t>
      </w:r>
      <w:r>
        <w:rPr>
          <w:rFonts w:ascii="Times New Roman" w:hAnsi="Times New Roman" w:cs="Times New Roman"/>
          <w:sz w:val="24"/>
          <w:szCs w:val="24"/>
        </w:rPr>
        <w:t>ir</w:t>
      </w:r>
      <w:r w:rsidRPr="00C53AD0">
        <w:rPr>
          <w:rFonts w:ascii="Times New Roman" w:hAnsi="Times New Roman" w:cs="Times New Roman"/>
          <w:sz w:val="24"/>
          <w:szCs w:val="24"/>
        </w:rPr>
        <w:t xml:space="preserve"> cash holdings</w:t>
      </w:r>
      <w:r>
        <w:rPr>
          <w:rFonts w:ascii="Times New Roman" w:hAnsi="Times New Roman" w:cs="Times New Roman"/>
          <w:sz w:val="24"/>
          <w:szCs w:val="24"/>
        </w:rPr>
        <w:t xml:space="preserve">; </w:t>
      </w:r>
      <w:r w:rsidRPr="00C53AD0">
        <w:rPr>
          <w:rFonts w:ascii="Times New Roman" w:hAnsi="Times New Roman" w:cs="Times New Roman"/>
          <w:sz w:val="24"/>
          <w:szCs w:val="24"/>
        </w:rPr>
        <w:t>default caused by liquidity risk</w:t>
      </w:r>
      <w:r>
        <w:rPr>
          <w:rFonts w:ascii="Times New Roman" w:hAnsi="Times New Roman" w:cs="Times New Roman"/>
          <w:sz w:val="24"/>
          <w:szCs w:val="24"/>
        </w:rPr>
        <w:t xml:space="preserve"> is </w:t>
      </w:r>
      <w:r w:rsidRPr="00C53AD0">
        <w:rPr>
          <w:rFonts w:ascii="Times New Roman" w:hAnsi="Times New Roman" w:cs="Times New Roman"/>
          <w:sz w:val="24"/>
          <w:szCs w:val="24"/>
        </w:rPr>
        <w:t>due to lack of liquidity in cover</w:t>
      </w:r>
      <w:r>
        <w:rPr>
          <w:rFonts w:ascii="Times New Roman" w:hAnsi="Times New Roman" w:cs="Times New Roman"/>
          <w:sz w:val="24"/>
          <w:szCs w:val="24"/>
        </w:rPr>
        <w:t>ing</w:t>
      </w:r>
      <w:r w:rsidRPr="00C53AD0">
        <w:rPr>
          <w:rFonts w:ascii="Times New Roman" w:hAnsi="Times New Roman" w:cs="Times New Roman"/>
          <w:sz w:val="24"/>
          <w:szCs w:val="24"/>
        </w:rPr>
        <w:t xml:space="preserve"> coupon payment</w:t>
      </w:r>
      <w:r>
        <w:rPr>
          <w:rFonts w:ascii="Times New Roman" w:hAnsi="Times New Roman" w:cs="Times New Roman"/>
          <w:sz w:val="24"/>
          <w:szCs w:val="24"/>
        </w:rPr>
        <w:t>s</w:t>
      </w:r>
      <w:r w:rsidRPr="00C53AD0">
        <w:rPr>
          <w:rFonts w:ascii="Times New Roman" w:hAnsi="Times New Roman" w:cs="Times New Roman"/>
          <w:sz w:val="24"/>
          <w:szCs w:val="24"/>
        </w:rPr>
        <w:t xml:space="preserve"> that</w:t>
      </w:r>
      <w:r>
        <w:rPr>
          <w:rFonts w:ascii="Times New Roman" w:hAnsi="Times New Roman" w:cs="Times New Roman"/>
          <w:sz w:val="24"/>
          <w:szCs w:val="24"/>
        </w:rPr>
        <w:t xml:space="preserve"> were </w:t>
      </w:r>
      <w:r w:rsidRPr="00C53AD0">
        <w:rPr>
          <w:rFonts w:ascii="Times New Roman" w:hAnsi="Times New Roman" w:cs="Times New Roman"/>
          <w:sz w:val="24"/>
          <w:szCs w:val="24"/>
        </w:rPr>
        <w:t>due. The cash balance h</w:t>
      </w:r>
      <w:r>
        <w:rPr>
          <w:rFonts w:ascii="Times New Roman" w:hAnsi="Times New Roman" w:cs="Times New Roman"/>
          <w:sz w:val="24"/>
          <w:szCs w:val="24"/>
        </w:rPr>
        <w:t>e</w:t>
      </w:r>
      <w:r w:rsidRPr="00C53AD0">
        <w:rPr>
          <w:rFonts w:ascii="Times New Roman" w:hAnsi="Times New Roman" w:cs="Times New Roman"/>
          <w:sz w:val="24"/>
          <w:szCs w:val="24"/>
        </w:rPr>
        <w:t>ld to eliminate liquidity risk follow</w:t>
      </w:r>
      <w:r>
        <w:rPr>
          <w:rFonts w:ascii="Times New Roman" w:hAnsi="Times New Roman" w:cs="Times New Roman"/>
          <w:sz w:val="24"/>
          <w:szCs w:val="24"/>
        </w:rPr>
        <w:t xml:space="preserve">s the </w:t>
      </w:r>
      <w:r w:rsidRPr="00C53AD0">
        <w:rPr>
          <w:rFonts w:ascii="Times New Roman" w:hAnsi="Times New Roman" w:cs="Times New Roman"/>
          <w:sz w:val="24"/>
          <w:szCs w:val="24"/>
        </w:rPr>
        <w:t>trade</w:t>
      </w:r>
      <w:r>
        <w:rPr>
          <w:rFonts w:ascii="Times New Roman" w:hAnsi="Times New Roman" w:cs="Times New Roman"/>
          <w:sz w:val="24"/>
          <w:szCs w:val="24"/>
        </w:rPr>
        <w:t>-</w:t>
      </w:r>
      <w:r w:rsidRPr="00C53AD0">
        <w:rPr>
          <w:rFonts w:ascii="Times New Roman" w:hAnsi="Times New Roman" w:cs="Times New Roman"/>
          <w:sz w:val="24"/>
          <w:szCs w:val="24"/>
        </w:rPr>
        <w:t>off theory, which measure</w:t>
      </w:r>
      <w:r>
        <w:rPr>
          <w:rFonts w:ascii="Times New Roman" w:hAnsi="Times New Roman" w:cs="Times New Roman"/>
          <w:sz w:val="24"/>
          <w:szCs w:val="24"/>
        </w:rPr>
        <w:t>s</w:t>
      </w:r>
      <w:r w:rsidRPr="00C53AD0">
        <w:rPr>
          <w:rFonts w:ascii="Times New Roman" w:hAnsi="Times New Roman" w:cs="Times New Roman"/>
          <w:sz w:val="24"/>
          <w:szCs w:val="24"/>
        </w:rPr>
        <w:t xml:space="preserve"> the cost</w:t>
      </w:r>
      <w:r>
        <w:rPr>
          <w:rFonts w:ascii="Times New Roman" w:hAnsi="Times New Roman" w:cs="Times New Roman"/>
          <w:sz w:val="24"/>
          <w:szCs w:val="24"/>
        </w:rPr>
        <w:t>s</w:t>
      </w:r>
      <w:r w:rsidRPr="00C53AD0">
        <w:rPr>
          <w:rFonts w:ascii="Times New Roman" w:hAnsi="Times New Roman" w:cs="Times New Roman"/>
          <w:sz w:val="24"/>
          <w:szCs w:val="24"/>
        </w:rPr>
        <w:t xml:space="preserve"> </w:t>
      </w:r>
      <w:r w:rsidRPr="00C53AD0">
        <w:rPr>
          <w:rFonts w:ascii="Times New Roman" w:hAnsi="Times New Roman" w:cs="Times New Roman"/>
          <w:sz w:val="24"/>
          <w:szCs w:val="24"/>
        </w:rPr>
        <w:lastRenderedPageBreak/>
        <w:t>and benefit</w:t>
      </w:r>
      <w:r>
        <w:rPr>
          <w:rFonts w:ascii="Times New Roman" w:hAnsi="Times New Roman" w:cs="Times New Roman"/>
          <w:sz w:val="24"/>
          <w:szCs w:val="24"/>
        </w:rPr>
        <w:t>s</w:t>
      </w:r>
      <w:r w:rsidRPr="00C53AD0">
        <w:rPr>
          <w:rFonts w:ascii="Times New Roman" w:hAnsi="Times New Roman" w:cs="Times New Roman"/>
          <w:sz w:val="24"/>
          <w:szCs w:val="24"/>
        </w:rPr>
        <w:t xml:space="preserve"> of holding cash. Cash holdings </w:t>
      </w:r>
      <w:r>
        <w:rPr>
          <w:rFonts w:ascii="Times New Roman" w:hAnsi="Times New Roman" w:cs="Times New Roman"/>
          <w:sz w:val="24"/>
          <w:szCs w:val="24"/>
        </w:rPr>
        <w:t>will</w:t>
      </w:r>
      <w:r w:rsidRPr="00C53AD0">
        <w:rPr>
          <w:rFonts w:ascii="Times New Roman" w:hAnsi="Times New Roman" w:cs="Times New Roman"/>
          <w:sz w:val="24"/>
          <w:szCs w:val="24"/>
        </w:rPr>
        <w:t xml:space="preserve"> decrease for le</w:t>
      </w:r>
      <w:r>
        <w:rPr>
          <w:rFonts w:ascii="Times New Roman" w:hAnsi="Times New Roman" w:cs="Times New Roman"/>
          <w:sz w:val="24"/>
          <w:szCs w:val="24"/>
        </w:rPr>
        <w:t xml:space="preserve">ss solvent firms as they </w:t>
      </w:r>
      <w:proofErr w:type="spellStart"/>
      <w:r>
        <w:rPr>
          <w:rFonts w:ascii="Times New Roman" w:hAnsi="Times New Roman" w:cs="Times New Roman"/>
          <w:sz w:val="24"/>
          <w:szCs w:val="24"/>
        </w:rPr>
        <w:t>practis</w:t>
      </w:r>
      <w:r w:rsidRPr="00C53AD0">
        <w:rPr>
          <w:rFonts w:ascii="Times New Roman" w:hAnsi="Times New Roman" w:cs="Times New Roman"/>
          <w:sz w:val="24"/>
          <w:szCs w:val="24"/>
        </w:rPr>
        <w:t>e</w:t>
      </w:r>
      <w:proofErr w:type="spellEnd"/>
      <w:r w:rsidRPr="00C53AD0">
        <w:rPr>
          <w:rFonts w:ascii="Times New Roman" w:hAnsi="Times New Roman" w:cs="Times New Roman"/>
          <w:sz w:val="24"/>
          <w:szCs w:val="24"/>
        </w:rPr>
        <w:t xml:space="preserve"> with lesser earnings-shortfalls</w:t>
      </w:r>
      <w:r>
        <w:rPr>
          <w:rFonts w:ascii="Times New Roman" w:hAnsi="Times New Roman" w:cs="Times New Roman"/>
          <w:sz w:val="24"/>
          <w:szCs w:val="24"/>
        </w:rPr>
        <w:t>,</w:t>
      </w:r>
      <w:r w:rsidRPr="00C53AD0">
        <w:rPr>
          <w:rFonts w:ascii="Times New Roman" w:hAnsi="Times New Roman" w:cs="Times New Roman"/>
          <w:sz w:val="24"/>
          <w:szCs w:val="24"/>
        </w:rPr>
        <w:t xml:space="preserve"> and therefore</w:t>
      </w:r>
      <w:r>
        <w:rPr>
          <w:rFonts w:ascii="Times New Roman" w:hAnsi="Times New Roman" w:cs="Times New Roman"/>
          <w:sz w:val="24"/>
          <w:szCs w:val="24"/>
        </w:rPr>
        <w:t xml:space="preserve"> have a lower demand for</w:t>
      </w:r>
      <w:r w:rsidRPr="00C53AD0">
        <w:rPr>
          <w:rFonts w:ascii="Times New Roman" w:hAnsi="Times New Roman" w:cs="Times New Roman"/>
          <w:sz w:val="24"/>
          <w:szCs w:val="24"/>
        </w:rPr>
        <w:t xml:space="preserve"> cash level</w:t>
      </w:r>
      <w:r>
        <w:rPr>
          <w:rFonts w:ascii="Times New Roman" w:hAnsi="Times New Roman" w:cs="Times New Roman"/>
          <w:sz w:val="24"/>
          <w:szCs w:val="24"/>
        </w:rPr>
        <w:t xml:space="preserve">s. From his study, </w:t>
      </w:r>
      <w:r w:rsidRPr="00C53AD0">
        <w:rPr>
          <w:rFonts w:ascii="Times New Roman" w:hAnsi="Times New Roman" w:cs="Times New Roman"/>
          <w:sz w:val="24"/>
          <w:szCs w:val="24"/>
        </w:rPr>
        <w:t>solvency and liquidity risks are positive</w:t>
      </w:r>
      <w:r>
        <w:rPr>
          <w:rFonts w:ascii="Times New Roman" w:hAnsi="Times New Roman" w:cs="Times New Roman"/>
          <w:sz w:val="24"/>
          <w:szCs w:val="24"/>
        </w:rPr>
        <w:t>ly related to</w:t>
      </w:r>
      <w:r w:rsidRPr="00C53AD0">
        <w:rPr>
          <w:rFonts w:ascii="Times New Roman" w:hAnsi="Times New Roman" w:cs="Times New Roman"/>
          <w:sz w:val="24"/>
          <w:szCs w:val="24"/>
        </w:rPr>
        <w:t xml:space="preserve"> c</w:t>
      </w:r>
      <w:r>
        <w:rPr>
          <w:rFonts w:ascii="Times New Roman" w:hAnsi="Times New Roman" w:cs="Times New Roman"/>
          <w:sz w:val="24"/>
          <w:szCs w:val="24"/>
        </w:rPr>
        <w:t>ash holdings. Furthermore, high-</w:t>
      </w:r>
      <w:r w:rsidRPr="00C53AD0">
        <w:rPr>
          <w:rFonts w:ascii="Times New Roman" w:hAnsi="Times New Roman" w:cs="Times New Roman"/>
          <w:sz w:val="24"/>
          <w:szCs w:val="24"/>
        </w:rPr>
        <w:t>cas</w:t>
      </w:r>
      <w:r>
        <w:rPr>
          <w:rFonts w:ascii="Times New Roman" w:hAnsi="Times New Roman" w:cs="Times New Roman"/>
          <w:sz w:val="24"/>
          <w:szCs w:val="24"/>
        </w:rPr>
        <w:t>h firms perform better than low-</w:t>
      </w:r>
      <w:r w:rsidRPr="00C53AD0">
        <w:rPr>
          <w:rFonts w:ascii="Times New Roman" w:hAnsi="Times New Roman" w:cs="Times New Roman"/>
          <w:sz w:val="24"/>
          <w:szCs w:val="24"/>
        </w:rPr>
        <w:t>cash firms if solvency decreases.</w:t>
      </w:r>
    </w:p>
    <w:p w:rsidR="004116D4" w:rsidRPr="004116D4" w:rsidRDefault="00B052D2" w:rsidP="00EF351B">
      <w:p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180A10">
        <w:rPr>
          <w:rFonts w:ascii="Times New Roman" w:hAnsi="Times New Roman" w:cs="Times New Roman"/>
          <w:b/>
          <w:sz w:val="24"/>
          <w:szCs w:val="24"/>
        </w:rPr>
        <w:t>Data and Methodology</w:t>
      </w:r>
    </w:p>
    <w:p w:rsidR="004116D4" w:rsidRDefault="004116D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53AD0">
        <w:rPr>
          <w:rFonts w:ascii="Times New Roman" w:hAnsi="Times New Roman" w:cs="Times New Roman"/>
          <w:sz w:val="24"/>
          <w:szCs w:val="24"/>
        </w:rPr>
        <w:t>decision on</w:t>
      </w:r>
      <w:r>
        <w:rPr>
          <w:rFonts w:ascii="Times New Roman" w:hAnsi="Times New Roman" w:cs="Times New Roman"/>
          <w:sz w:val="24"/>
          <w:szCs w:val="24"/>
        </w:rPr>
        <w:t xml:space="preserve"> a cash-holding</w:t>
      </w:r>
      <w:r w:rsidRPr="00C53AD0">
        <w:rPr>
          <w:rFonts w:ascii="Times New Roman" w:hAnsi="Times New Roman" w:cs="Times New Roman"/>
          <w:sz w:val="24"/>
          <w:szCs w:val="24"/>
        </w:rPr>
        <w:t xml:space="preserve"> policy is </w:t>
      </w:r>
      <w:r>
        <w:rPr>
          <w:rFonts w:ascii="Times New Roman" w:hAnsi="Times New Roman" w:cs="Times New Roman"/>
          <w:sz w:val="24"/>
          <w:szCs w:val="24"/>
        </w:rPr>
        <w:t>based on</w:t>
      </w:r>
      <w:r w:rsidRPr="00C53AD0">
        <w:rPr>
          <w:rFonts w:ascii="Times New Roman" w:hAnsi="Times New Roman" w:cs="Times New Roman"/>
          <w:sz w:val="24"/>
          <w:szCs w:val="24"/>
        </w:rPr>
        <w:t xml:space="preserve"> several risk factors</w:t>
      </w:r>
      <w:r>
        <w:rPr>
          <w:rFonts w:ascii="Times New Roman" w:hAnsi="Times New Roman" w:cs="Times New Roman"/>
          <w:sz w:val="24"/>
          <w:szCs w:val="24"/>
        </w:rPr>
        <w:t>,</w:t>
      </w:r>
      <w:r w:rsidRPr="00C53AD0">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Pr="00C53AD0">
        <w:rPr>
          <w:rFonts w:ascii="Times New Roman" w:hAnsi="Times New Roman" w:cs="Times New Roman"/>
          <w:sz w:val="24"/>
          <w:szCs w:val="24"/>
        </w:rPr>
        <w:t>level of risk that corporations experience, especially credit risk</w:t>
      </w:r>
      <w:r>
        <w:rPr>
          <w:rFonts w:ascii="Times New Roman" w:hAnsi="Times New Roman" w:cs="Times New Roman"/>
          <w:sz w:val="24"/>
          <w:szCs w:val="24"/>
        </w:rPr>
        <w:t xml:space="preserve"> that </w:t>
      </w:r>
      <w:r w:rsidRPr="00C53AD0">
        <w:rPr>
          <w:rFonts w:ascii="Times New Roman" w:hAnsi="Times New Roman" w:cs="Times New Roman"/>
          <w:sz w:val="24"/>
          <w:szCs w:val="24"/>
        </w:rPr>
        <w:t>directly impact</w:t>
      </w:r>
      <w:r>
        <w:rPr>
          <w:rFonts w:ascii="Times New Roman" w:hAnsi="Times New Roman" w:cs="Times New Roman"/>
          <w:sz w:val="24"/>
          <w:szCs w:val="24"/>
        </w:rPr>
        <w:t>s</w:t>
      </w:r>
      <w:r w:rsidRPr="00C53AD0">
        <w:rPr>
          <w:rFonts w:ascii="Times New Roman" w:hAnsi="Times New Roman" w:cs="Times New Roman"/>
          <w:sz w:val="24"/>
          <w:szCs w:val="24"/>
        </w:rPr>
        <w:t xml:space="preserve"> </w:t>
      </w:r>
      <w:r>
        <w:rPr>
          <w:rFonts w:ascii="Times New Roman" w:hAnsi="Times New Roman" w:cs="Times New Roman"/>
          <w:sz w:val="24"/>
          <w:szCs w:val="24"/>
        </w:rPr>
        <w:t>a</w:t>
      </w:r>
      <w:r w:rsidRPr="00C53AD0">
        <w:rPr>
          <w:rFonts w:ascii="Times New Roman" w:hAnsi="Times New Roman" w:cs="Times New Roman"/>
          <w:sz w:val="24"/>
          <w:szCs w:val="24"/>
        </w:rPr>
        <w:t xml:space="preserve"> firm</w:t>
      </w:r>
      <w:r>
        <w:rPr>
          <w:rFonts w:ascii="Times New Roman" w:hAnsi="Times New Roman" w:cs="Times New Roman"/>
          <w:sz w:val="24"/>
          <w:szCs w:val="24"/>
        </w:rPr>
        <w:t>’</w:t>
      </w:r>
      <w:r w:rsidRPr="00C53AD0">
        <w:rPr>
          <w:rFonts w:ascii="Times New Roman" w:hAnsi="Times New Roman" w:cs="Times New Roman"/>
          <w:sz w:val="24"/>
          <w:szCs w:val="24"/>
        </w:rPr>
        <w:t>s performance and market value. In general, the corporation with higher cash holdings should be safer and face lower</w:t>
      </w:r>
      <w:r>
        <w:rPr>
          <w:rFonts w:ascii="Times New Roman" w:hAnsi="Times New Roman" w:cs="Times New Roman"/>
          <w:sz w:val="24"/>
          <w:szCs w:val="24"/>
        </w:rPr>
        <w:t xml:space="preserve"> credit risk. However,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et al. </w:t>
      </w:r>
      <w:r w:rsidRPr="00C53AD0">
        <w:rPr>
          <w:rFonts w:ascii="Times New Roman" w:hAnsi="Times New Roman" w:cs="Times New Roman"/>
          <w:sz w:val="24"/>
          <w:szCs w:val="24"/>
        </w:rPr>
        <w:t>(2011) re</w:t>
      </w:r>
      <w:r>
        <w:rPr>
          <w:rFonts w:ascii="Times New Roman" w:hAnsi="Times New Roman" w:cs="Times New Roman"/>
          <w:sz w:val="24"/>
          <w:szCs w:val="24"/>
        </w:rPr>
        <w:t>marked that</w:t>
      </w:r>
      <w:r w:rsidRPr="00C53AD0">
        <w:rPr>
          <w:rFonts w:ascii="Times New Roman" w:hAnsi="Times New Roman" w:cs="Times New Roman"/>
          <w:sz w:val="24"/>
          <w:szCs w:val="24"/>
        </w:rPr>
        <w:t xml:space="preserve"> the optimal cash reserves is actually significant and positively related to the risk spread</w:t>
      </w:r>
      <w:r>
        <w:rPr>
          <w:rFonts w:ascii="Times New Roman" w:hAnsi="Times New Roman" w:cs="Times New Roman"/>
          <w:sz w:val="24"/>
          <w:szCs w:val="24"/>
        </w:rPr>
        <w:t>,</w:t>
      </w:r>
      <w:r w:rsidRPr="00C53AD0">
        <w:rPr>
          <w:rFonts w:ascii="Times New Roman" w:hAnsi="Times New Roman" w:cs="Times New Roman"/>
          <w:sz w:val="24"/>
          <w:szCs w:val="24"/>
        </w:rPr>
        <w:t xml:space="preserve"> and their findings show</w:t>
      </w:r>
      <w:r>
        <w:rPr>
          <w:rFonts w:ascii="Times New Roman" w:hAnsi="Times New Roman" w:cs="Times New Roman"/>
          <w:sz w:val="24"/>
          <w:szCs w:val="24"/>
        </w:rPr>
        <w:t>ed</w:t>
      </w:r>
      <w:r w:rsidRPr="00C53AD0">
        <w:rPr>
          <w:rFonts w:ascii="Times New Roman" w:hAnsi="Times New Roman" w:cs="Times New Roman"/>
          <w:sz w:val="24"/>
          <w:szCs w:val="24"/>
        </w:rPr>
        <w:t xml:space="preserve"> stronger evidence toward lower credit ratings. They develop</w:t>
      </w:r>
      <w:r>
        <w:rPr>
          <w:rFonts w:ascii="Times New Roman" w:hAnsi="Times New Roman" w:cs="Times New Roman"/>
          <w:sz w:val="24"/>
          <w:szCs w:val="24"/>
        </w:rPr>
        <w:t>ed</w:t>
      </w:r>
      <w:r w:rsidRPr="00C53AD0">
        <w:rPr>
          <w:rFonts w:ascii="Times New Roman" w:hAnsi="Times New Roman" w:cs="Times New Roman"/>
          <w:sz w:val="24"/>
          <w:szCs w:val="24"/>
        </w:rPr>
        <w:t xml:space="preserve"> a regression model of the firm’s endogenous cash policy in the existence of expensive default</w:t>
      </w:r>
      <w:r>
        <w:rPr>
          <w:rFonts w:ascii="Times New Roman" w:hAnsi="Times New Roman" w:cs="Times New Roman"/>
          <w:sz w:val="24"/>
          <w:szCs w:val="24"/>
        </w:rPr>
        <w:t>s</w:t>
      </w:r>
      <w:r w:rsidRPr="00C53AD0">
        <w:rPr>
          <w:rFonts w:ascii="Times New Roman" w:hAnsi="Times New Roman" w:cs="Times New Roman"/>
          <w:sz w:val="24"/>
          <w:szCs w:val="24"/>
        </w:rPr>
        <w:t xml:space="preserve"> and</w:t>
      </w:r>
      <w:r>
        <w:rPr>
          <w:rFonts w:ascii="Times New Roman" w:hAnsi="Times New Roman" w:cs="Times New Roman"/>
          <w:sz w:val="24"/>
          <w:szCs w:val="24"/>
        </w:rPr>
        <w:t xml:space="preserve"> with</w:t>
      </w:r>
      <w:r w:rsidRPr="00C53AD0">
        <w:rPr>
          <w:rFonts w:ascii="Times New Roman" w:hAnsi="Times New Roman" w:cs="Times New Roman"/>
          <w:sz w:val="24"/>
          <w:szCs w:val="24"/>
        </w:rPr>
        <w:t xml:space="preserve"> limited access t</w:t>
      </w:r>
      <w:r>
        <w:rPr>
          <w:rFonts w:ascii="Times New Roman" w:hAnsi="Times New Roman" w:cs="Times New Roman"/>
          <w:sz w:val="24"/>
          <w:szCs w:val="24"/>
        </w:rPr>
        <w:t>o external finance. They stated that a company with</w:t>
      </w:r>
      <w:r w:rsidRPr="00C53AD0">
        <w:rPr>
          <w:rFonts w:ascii="Times New Roman" w:hAnsi="Times New Roman" w:cs="Times New Roman"/>
          <w:sz w:val="24"/>
          <w:szCs w:val="24"/>
        </w:rPr>
        <w:t xml:space="preserve"> lower credit ratings</w:t>
      </w:r>
      <w:r>
        <w:rPr>
          <w:rFonts w:ascii="Times New Roman" w:hAnsi="Times New Roman" w:cs="Times New Roman"/>
          <w:sz w:val="24"/>
          <w:szCs w:val="24"/>
        </w:rPr>
        <w:t xml:space="preserve"> that is </w:t>
      </w:r>
      <w:r w:rsidRPr="00C53AD0">
        <w:rPr>
          <w:rFonts w:ascii="Times New Roman" w:hAnsi="Times New Roman" w:cs="Times New Roman"/>
          <w:sz w:val="24"/>
          <w:szCs w:val="24"/>
        </w:rPr>
        <w:t>holding more cash is riskier than other higher rat</w:t>
      </w:r>
      <w:r>
        <w:rPr>
          <w:rFonts w:ascii="Times New Roman" w:hAnsi="Times New Roman" w:cs="Times New Roman"/>
          <w:sz w:val="24"/>
          <w:szCs w:val="24"/>
        </w:rPr>
        <w:t xml:space="preserve">ed </w:t>
      </w:r>
      <w:r w:rsidRPr="00C53AD0">
        <w:rPr>
          <w:rFonts w:ascii="Times New Roman" w:hAnsi="Times New Roman" w:cs="Times New Roman"/>
          <w:sz w:val="24"/>
          <w:szCs w:val="24"/>
        </w:rPr>
        <w:t>firms, as they require higher cash level</w:t>
      </w:r>
      <w:r>
        <w:rPr>
          <w:rFonts w:ascii="Times New Roman" w:hAnsi="Times New Roman" w:cs="Times New Roman"/>
          <w:sz w:val="24"/>
          <w:szCs w:val="24"/>
        </w:rPr>
        <w:t>s as a</w:t>
      </w:r>
      <w:r w:rsidRPr="00C53AD0">
        <w:rPr>
          <w:rFonts w:ascii="Times New Roman" w:hAnsi="Times New Roman" w:cs="Times New Roman"/>
          <w:sz w:val="24"/>
          <w:szCs w:val="24"/>
        </w:rPr>
        <w:t xml:space="preserve"> precautionary motive. On the other hand, spreads are negatively associated </w:t>
      </w:r>
      <w:r>
        <w:rPr>
          <w:rFonts w:ascii="Times New Roman" w:hAnsi="Times New Roman" w:cs="Times New Roman"/>
          <w:sz w:val="24"/>
          <w:szCs w:val="24"/>
        </w:rPr>
        <w:t>with cash-holding</w:t>
      </w:r>
      <w:r w:rsidRPr="00C53AD0">
        <w:rPr>
          <w:rFonts w:ascii="Times New Roman" w:hAnsi="Times New Roman" w:cs="Times New Roman"/>
          <w:sz w:val="24"/>
          <w:szCs w:val="24"/>
        </w:rPr>
        <w:t xml:space="preserve"> determinant</w:t>
      </w:r>
      <w:r>
        <w:rPr>
          <w:rFonts w:ascii="Times New Roman" w:hAnsi="Times New Roman" w:cs="Times New Roman"/>
          <w:sz w:val="24"/>
          <w:szCs w:val="24"/>
        </w:rPr>
        <w:t>s, which are</w:t>
      </w:r>
      <w:r w:rsidRPr="00C53AD0">
        <w:rPr>
          <w:rFonts w:ascii="Times New Roman" w:hAnsi="Times New Roman" w:cs="Times New Roman"/>
          <w:sz w:val="24"/>
          <w:szCs w:val="24"/>
        </w:rPr>
        <w:t xml:space="preserve"> independent of c</w:t>
      </w:r>
      <w:r>
        <w:rPr>
          <w:rFonts w:ascii="Times New Roman" w:hAnsi="Times New Roman" w:cs="Times New Roman"/>
          <w:sz w:val="24"/>
          <w:szCs w:val="24"/>
        </w:rPr>
        <w:t>redit risk factors. T</w:t>
      </w:r>
      <w:r w:rsidRPr="00C53AD0">
        <w:rPr>
          <w:rFonts w:ascii="Times New Roman" w:hAnsi="Times New Roman" w:cs="Times New Roman"/>
          <w:sz w:val="24"/>
          <w:szCs w:val="24"/>
        </w:rPr>
        <w:t>hey</w:t>
      </w:r>
      <w:r>
        <w:rPr>
          <w:rFonts w:ascii="Times New Roman" w:hAnsi="Times New Roman" w:cs="Times New Roman"/>
          <w:sz w:val="24"/>
          <w:szCs w:val="24"/>
        </w:rPr>
        <w:t xml:space="preserve"> thus</w:t>
      </w:r>
      <w:r w:rsidRPr="00C53AD0">
        <w:rPr>
          <w:rFonts w:ascii="Times New Roman" w:hAnsi="Times New Roman" w:cs="Times New Roman"/>
          <w:sz w:val="24"/>
          <w:szCs w:val="24"/>
        </w:rPr>
        <w:t xml:space="preserve"> conclude</w:t>
      </w:r>
      <w:r>
        <w:rPr>
          <w:rFonts w:ascii="Times New Roman" w:hAnsi="Times New Roman" w:cs="Times New Roman"/>
          <w:sz w:val="24"/>
          <w:szCs w:val="24"/>
        </w:rPr>
        <w:t>d</w:t>
      </w:r>
      <w:r w:rsidRPr="00C53AD0">
        <w:rPr>
          <w:rFonts w:ascii="Times New Roman" w:hAnsi="Times New Roman" w:cs="Times New Roman"/>
          <w:sz w:val="24"/>
          <w:szCs w:val="24"/>
        </w:rPr>
        <w:t xml:space="preserve"> that corporate liquidity positively respond</w:t>
      </w:r>
      <w:r>
        <w:rPr>
          <w:rFonts w:ascii="Times New Roman" w:hAnsi="Times New Roman" w:cs="Times New Roman"/>
          <w:sz w:val="24"/>
          <w:szCs w:val="24"/>
        </w:rPr>
        <w:t xml:space="preserve">s </w:t>
      </w:r>
      <w:r w:rsidRPr="00C53AD0">
        <w:rPr>
          <w:rFonts w:ascii="Times New Roman" w:hAnsi="Times New Roman" w:cs="Times New Roman"/>
          <w:sz w:val="24"/>
          <w:szCs w:val="24"/>
        </w:rPr>
        <w:t>to both credit spreads</w:t>
      </w:r>
      <w:r>
        <w:rPr>
          <w:rFonts w:ascii="Times New Roman" w:hAnsi="Times New Roman" w:cs="Times New Roman"/>
          <w:sz w:val="24"/>
          <w:szCs w:val="24"/>
        </w:rPr>
        <w:t xml:space="preserve"> </w:t>
      </w:r>
      <w:r w:rsidRPr="00C53AD0">
        <w:rPr>
          <w:rFonts w:ascii="Times New Roman" w:hAnsi="Times New Roman" w:cs="Times New Roman"/>
          <w:sz w:val="24"/>
          <w:szCs w:val="24"/>
        </w:rPr>
        <w:t>and the</w:t>
      </w:r>
      <w:r w:rsidRPr="00F90DFC">
        <w:rPr>
          <w:rFonts w:ascii="Times New Roman" w:hAnsi="Times New Roman" w:cs="Times New Roman"/>
          <w:sz w:val="24"/>
          <w:szCs w:val="24"/>
        </w:rPr>
        <w:t xml:space="preserve"> </w:t>
      </w:r>
      <w:r w:rsidRPr="00C53AD0">
        <w:rPr>
          <w:rFonts w:ascii="Times New Roman" w:hAnsi="Times New Roman" w:cs="Times New Roman"/>
          <w:sz w:val="24"/>
          <w:szCs w:val="24"/>
        </w:rPr>
        <w:t>probability</w:t>
      </w:r>
      <w:r>
        <w:rPr>
          <w:rFonts w:ascii="Times New Roman" w:hAnsi="Times New Roman" w:cs="Times New Roman"/>
          <w:sz w:val="24"/>
          <w:szCs w:val="24"/>
        </w:rPr>
        <w:t xml:space="preserve"> of long-term default. Thus</w:t>
      </w:r>
      <w:r w:rsidRPr="00C53AD0">
        <w:rPr>
          <w:rFonts w:ascii="Times New Roman" w:hAnsi="Times New Roman" w:cs="Times New Roman"/>
          <w:sz w:val="24"/>
          <w:szCs w:val="24"/>
        </w:rPr>
        <w:t xml:space="preserve"> higher cash holdings</w:t>
      </w:r>
      <w:r>
        <w:rPr>
          <w:rFonts w:ascii="Times New Roman" w:hAnsi="Times New Roman" w:cs="Times New Roman"/>
          <w:sz w:val="24"/>
          <w:szCs w:val="24"/>
        </w:rPr>
        <w:t xml:space="preserve"> are</w:t>
      </w:r>
      <w:r w:rsidRPr="00C53AD0">
        <w:rPr>
          <w:rFonts w:ascii="Times New Roman" w:hAnsi="Times New Roman" w:cs="Times New Roman"/>
          <w:sz w:val="24"/>
          <w:szCs w:val="24"/>
        </w:rPr>
        <w:t xml:space="preserve"> explained by</w:t>
      </w:r>
      <w:r>
        <w:rPr>
          <w:rFonts w:ascii="Times New Roman" w:hAnsi="Times New Roman" w:cs="Times New Roman"/>
          <w:sz w:val="24"/>
          <w:szCs w:val="24"/>
        </w:rPr>
        <w:t xml:space="preserve"> a</w:t>
      </w:r>
      <w:r w:rsidRPr="00C53AD0">
        <w:rPr>
          <w:rFonts w:ascii="Times New Roman" w:hAnsi="Times New Roman" w:cs="Times New Roman"/>
          <w:sz w:val="24"/>
          <w:szCs w:val="24"/>
        </w:rPr>
        <w:t xml:space="preserve"> higher credit risk. Firms with</w:t>
      </w:r>
      <w:r>
        <w:rPr>
          <w:rFonts w:ascii="Times New Roman" w:hAnsi="Times New Roman" w:cs="Times New Roman"/>
          <w:sz w:val="24"/>
          <w:szCs w:val="24"/>
        </w:rPr>
        <w:t xml:space="preserve"> a</w:t>
      </w:r>
      <w:r w:rsidRPr="00C53AD0">
        <w:rPr>
          <w:rFonts w:ascii="Times New Roman" w:hAnsi="Times New Roman" w:cs="Times New Roman"/>
          <w:sz w:val="24"/>
          <w:szCs w:val="24"/>
        </w:rPr>
        <w:t xml:space="preserve"> higher requirement for precautionary savings are expected to tolerate </w:t>
      </w:r>
      <w:r>
        <w:rPr>
          <w:rFonts w:ascii="Times New Roman" w:hAnsi="Times New Roman" w:cs="Times New Roman"/>
          <w:sz w:val="24"/>
          <w:szCs w:val="24"/>
        </w:rPr>
        <w:t>a</w:t>
      </w:r>
      <w:r w:rsidRPr="00C53AD0">
        <w:rPr>
          <w:rFonts w:ascii="Times New Roman" w:hAnsi="Times New Roman" w:cs="Times New Roman"/>
          <w:sz w:val="24"/>
          <w:szCs w:val="24"/>
        </w:rPr>
        <w:t xml:space="preserve"> higher risk</w:t>
      </w:r>
      <w:r>
        <w:rPr>
          <w:rFonts w:ascii="Times New Roman" w:hAnsi="Times New Roman" w:cs="Times New Roman"/>
          <w:sz w:val="24"/>
          <w:szCs w:val="24"/>
        </w:rPr>
        <w:t xml:space="preserve"> compared with </w:t>
      </w:r>
      <w:r w:rsidRPr="00C53AD0">
        <w:rPr>
          <w:rFonts w:ascii="Times New Roman" w:hAnsi="Times New Roman" w:cs="Times New Roman"/>
          <w:sz w:val="24"/>
          <w:szCs w:val="24"/>
        </w:rPr>
        <w:t>others and</w:t>
      </w:r>
      <w:r>
        <w:rPr>
          <w:rFonts w:ascii="Times New Roman" w:hAnsi="Times New Roman" w:cs="Times New Roman"/>
          <w:sz w:val="24"/>
          <w:szCs w:val="24"/>
        </w:rPr>
        <w:t xml:space="preserve"> also to</w:t>
      </w:r>
      <w:r w:rsidRPr="00C53AD0">
        <w:rPr>
          <w:rFonts w:ascii="Times New Roman" w:hAnsi="Times New Roman" w:cs="Times New Roman"/>
          <w:sz w:val="24"/>
          <w:szCs w:val="24"/>
        </w:rPr>
        <w:t xml:space="preserve"> face a higher probability of default. </w:t>
      </w:r>
    </w:p>
    <w:p w:rsidR="004116D4" w:rsidRDefault="00B052D2"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16D4" w:rsidRPr="00C53AD0">
        <w:rPr>
          <w:rFonts w:ascii="Times New Roman" w:hAnsi="Times New Roman" w:cs="Times New Roman"/>
          <w:sz w:val="24"/>
          <w:szCs w:val="24"/>
        </w:rPr>
        <w:t xml:space="preserve">Besides, </w:t>
      </w:r>
      <w:r w:rsidR="004116D4">
        <w:rPr>
          <w:rFonts w:ascii="Times New Roman" w:hAnsi="Times New Roman" w:cs="Times New Roman"/>
          <w:sz w:val="24"/>
          <w:szCs w:val="24"/>
        </w:rPr>
        <w:t xml:space="preserve">as revealed in one of the </w:t>
      </w:r>
      <w:r w:rsidR="004116D4" w:rsidRPr="00C53AD0">
        <w:rPr>
          <w:rFonts w:ascii="Times New Roman" w:hAnsi="Times New Roman" w:cs="Times New Roman"/>
          <w:sz w:val="24"/>
          <w:szCs w:val="24"/>
        </w:rPr>
        <w:t>latest stud</w:t>
      </w:r>
      <w:r w:rsidR="004116D4">
        <w:rPr>
          <w:rFonts w:ascii="Times New Roman" w:hAnsi="Times New Roman" w:cs="Times New Roman"/>
          <w:sz w:val="24"/>
          <w:szCs w:val="24"/>
        </w:rPr>
        <w:t xml:space="preserve">ies </w:t>
      </w:r>
      <w:r w:rsidR="004116D4" w:rsidRPr="00C53AD0">
        <w:rPr>
          <w:rFonts w:ascii="Times New Roman" w:hAnsi="Times New Roman" w:cs="Times New Roman"/>
          <w:sz w:val="24"/>
          <w:szCs w:val="24"/>
        </w:rPr>
        <w:t xml:space="preserve">by Arnold (2014) </w:t>
      </w:r>
      <w:r w:rsidR="004116D4">
        <w:rPr>
          <w:rFonts w:ascii="Times New Roman" w:hAnsi="Times New Roman" w:cs="Times New Roman"/>
          <w:sz w:val="24"/>
          <w:szCs w:val="24"/>
        </w:rPr>
        <w:t>concerning the</w:t>
      </w:r>
      <w:r w:rsidR="004116D4" w:rsidRPr="00C53AD0">
        <w:rPr>
          <w:rFonts w:ascii="Times New Roman" w:hAnsi="Times New Roman" w:cs="Times New Roman"/>
          <w:sz w:val="24"/>
          <w:szCs w:val="24"/>
        </w:rPr>
        <w:t xml:space="preserve"> role of cash holdings and bankruptcy risk</w:t>
      </w:r>
      <w:r w:rsidR="004116D4">
        <w:rPr>
          <w:rFonts w:ascii="Times New Roman" w:hAnsi="Times New Roman" w:cs="Times New Roman"/>
          <w:sz w:val="24"/>
          <w:szCs w:val="24"/>
        </w:rPr>
        <w:t>,</w:t>
      </w:r>
      <w:r w:rsidR="004116D4" w:rsidRPr="00C53AD0">
        <w:rPr>
          <w:rFonts w:ascii="Times New Roman" w:hAnsi="Times New Roman" w:cs="Times New Roman"/>
          <w:sz w:val="24"/>
          <w:szCs w:val="24"/>
        </w:rPr>
        <w:t xml:space="preserve"> cash can help in defer</w:t>
      </w:r>
      <w:r w:rsidR="004116D4">
        <w:rPr>
          <w:rFonts w:ascii="Times New Roman" w:hAnsi="Times New Roman" w:cs="Times New Roman"/>
          <w:sz w:val="24"/>
          <w:szCs w:val="24"/>
        </w:rPr>
        <w:t>ring</w:t>
      </w:r>
      <w:r w:rsidR="004116D4" w:rsidRPr="00C53AD0">
        <w:rPr>
          <w:rFonts w:ascii="Times New Roman" w:hAnsi="Times New Roman" w:cs="Times New Roman"/>
          <w:sz w:val="24"/>
          <w:szCs w:val="24"/>
        </w:rPr>
        <w:t xml:space="preserve"> bankruptcy by provid</w:t>
      </w:r>
      <w:r w:rsidR="004116D4">
        <w:rPr>
          <w:rFonts w:ascii="Times New Roman" w:hAnsi="Times New Roman" w:cs="Times New Roman"/>
          <w:sz w:val="24"/>
          <w:szCs w:val="24"/>
        </w:rPr>
        <w:t xml:space="preserve">ing a </w:t>
      </w:r>
      <w:r w:rsidR="004116D4" w:rsidRPr="00C53AD0">
        <w:rPr>
          <w:rFonts w:ascii="Times New Roman" w:hAnsi="Times New Roman" w:cs="Times New Roman"/>
          <w:sz w:val="24"/>
          <w:szCs w:val="24"/>
        </w:rPr>
        <w:t>firm</w:t>
      </w:r>
      <w:r w:rsidR="004116D4">
        <w:rPr>
          <w:rFonts w:ascii="Times New Roman" w:hAnsi="Times New Roman" w:cs="Times New Roman"/>
          <w:sz w:val="24"/>
          <w:szCs w:val="24"/>
        </w:rPr>
        <w:t xml:space="preserve"> </w:t>
      </w:r>
      <w:r w:rsidR="004116D4">
        <w:rPr>
          <w:rFonts w:ascii="Times New Roman" w:hAnsi="Times New Roman" w:cs="Times New Roman"/>
          <w:sz w:val="24"/>
          <w:szCs w:val="24"/>
        </w:rPr>
        <w:lastRenderedPageBreak/>
        <w:t>with</w:t>
      </w:r>
      <w:r w:rsidR="004116D4" w:rsidRPr="00C53AD0">
        <w:rPr>
          <w:rFonts w:ascii="Times New Roman" w:hAnsi="Times New Roman" w:cs="Times New Roman"/>
          <w:sz w:val="24"/>
          <w:szCs w:val="24"/>
        </w:rPr>
        <w:t xml:space="preserve"> sufficient liquidity to buffer against insolvency during difficult period</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However, cash </w:t>
      </w:r>
      <w:r w:rsidR="004116D4">
        <w:rPr>
          <w:rFonts w:ascii="Times New Roman" w:hAnsi="Times New Roman" w:cs="Times New Roman"/>
          <w:sz w:val="24"/>
          <w:szCs w:val="24"/>
        </w:rPr>
        <w:t>may</w:t>
      </w:r>
      <w:r w:rsidR="004116D4" w:rsidRPr="00C53AD0">
        <w:rPr>
          <w:rFonts w:ascii="Times New Roman" w:hAnsi="Times New Roman" w:cs="Times New Roman"/>
          <w:sz w:val="24"/>
          <w:szCs w:val="24"/>
        </w:rPr>
        <w:t xml:space="preserve"> make </w:t>
      </w:r>
      <w:r w:rsidR="004116D4">
        <w:rPr>
          <w:rFonts w:ascii="Times New Roman" w:hAnsi="Times New Roman" w:cs="Times New Roman"/>
          <w:sz w:val="24"/>
          <w:szCs w:val="24"/>
        </w:rPr>
        <w:t>a</w:t>
      </w:r>
      <w:r w:rsidR="004116D4" w:rsidRPr="00C53AD0">
        <w:rPr>
          <w:rFonts w:ascii="Times New Roman" w:hAnsi="Times New Roman" w:cs="Times New Roman"/>
          <w:sz w:val="24"/>
          <w:szCs w:val="24"/>
        </w:rPr>
        <w:t xml:space="preserve"> financial condition worse</w:t>
      </w:r>
      <w:r w:rsidR="004116D4">
        <w:rPr>
          <w:rFonts w:ascii="Times New Roman" w:hAnsi="Times New Roman" w:cs="Times New Roman"/>
          <w:sz w:val="24"/>
          <w:szCs w:val="24"/>
        </w:rPr>
        <w:t xml:space="preserve"> when a lower number of </w:t>
      </w:r>
      <w:r w:rsidR="004116D4" w:rsidRPr="00C53AD0">
        <w:rPr>
          <w:rFonts w:ascii="Times New Roman" w:hAnsi="Times New Roman" w:cs="Times New Roman"/>
          <w:sz w:val="24"/>
          <w:szCs w:val="24"/>
        </w:rPr>
        <w:t>shareholders</w:t>
      </w:r>
      <w:r w:rsidR="004116D4">
        <w:rPr>
          <w:rFonts w:ascii="Times New Roman" w:hAnsi="Times New Roman" w:cs="Times New Roman"/>
          <w:sz w:val="24"/>
          <w:szCs w:val="24"/>
        </w:rPr>
        <w:t xml:space="preserve"> are</w:t>
      </w:r>
      <w:r w:rsidR="004116D4" w:rsidRPr="00C53AD0">
        <w:rPr>
          <w:rFonts w:ascii="Times New Roman" w:hAnsi="Times New Roman" w:cs="Times New Roman"/>
          <w:sz w:val="24"/>
          <w:szCs w:val="24"/>
        </w:rPr>
        <w:t xml:space="preserve"> willing to offer external funding to </w:t>
      </w:r>
      <w:r w:rsidR="004116D4">
        <w:rPr>
          <w:rFonts w:ascii="Times New Roman" w:hAnsi="Times New Roman" w:cs="Times New Roman"/>
          <w:sz w:val="24"/>
          <w:szCs w:val="24"/>
        </w:rPr>
        <w:t>a</w:t>
      </w:r>
      <w:r w:rsidR="004116D4" w:rsidRPr="00C53AD0">
        <w:rPr>
          <w:rFonts w:ascii="Times New Roman" w:hAnsi="Times New Roman" w:cs="Times New Roman"/>
          <w:sz w:val="24"/>
          <w:szCs w:val="24"/>
        </w:rPr>
        <w:t xml:space="preserve"> firm</w:t>
      </w:r>
      <w:r w:rsidR="004116D4">
        <w:rPr>
          <w:rFonts w:ascii="Times New Roman" w:hAnsi="Times New Roman" w:cs="Times New Roman"/>
          <w:sz w:val="24"/>
          <w:szCs w:val="24"/>
        </w:rPr>
        <w:t>; this may be due to the availability of cash-holding</w:t>
      </w:r>
      <w:r w:rsidR="004116D4" w:rsidRPr="00C53AD0">
        <w:rPr>
          <w:rFonts w:ascii="Times New Roman" w:hAnsi="Times New Roman" w:cs="Times New Roman"/>
          <w:sz w:val="24"/>
          <w:szCs w:val="24"/>
        </w:rPr>
        <w:t xml:space="preserve"> readiness</w:t>
      </w:r>
      <w:r w:rsidR="004116D4">
        <w:rPr>
          <w:rFonts w:ascii="Times New Roman" w:hAnsi="Times New Roman" w:cs="Times New Roman"/>
          <w:sz w:val="24"/>
          <w:szCs w:val="24"/>
        </w:rPr>
        <w:t xml:space="preserve">, </w:t>
      </w:r>
      <w:r w:rsidR="004116D4" w:rsidRPr="00C53AD0">
        <w:rPr>
          <w:rFonts w:ascii="Times New Roman" w:hAnsi="Times New Roman" w:cs="Times New Roman"/>
          <w:sz w:val="24"/>
          <w:szCs w:val="24"/>
        </w:rPr>
        <w:t>thus</w:t>
      </w:r>
      <w:r w:rsidR="004116D4">
        <w:rPr>
          <w:rFonts w:ascii="Times New Roman" w:hAnsi="Times New Roman" w:cs="Times New Roman"/>
          <w:sz w:val="24"/>
          <w:szCs w:val="24"/>
        </w:rPr>
        <w:t xml:space="preserve"> </w:t>
      </w:r>
      <w:r w:rsidR="004116D4" w:rsidRPr="00C53AD0">
        <w:rPr>
          <w:rFonts w:ascii="Times New Roman" w:hAnsi="Times New Roman" w:cs="Times New Roman"/>
          <w:sz w:val="24"/>
          <w:szCs w:val="24"/>
        </w:rPr>
        <w:t>increas</w:t>
      </w:r>
      <w:r w:rsidR="004116D4">
        <w:rPr>
          <w:rFonts w:ascii="Times New Roman" w:hAnsi="Times New Roman" w:cs="Times New Roman"/>
          <w:sz w:val="24"/>
          <w:szCs w:val="24"/>
        </w:rPr>
        <w:t xml:space="preserve">ing the risk of </w:t>
      </w:r>
      <w:r w:rsidR="004116D4" w:rsidRPr="00C53AD0">
        <w:rPr>
          <w:rFonts w:ascii="Times New Roman" w:hAnsi="Times New Roman" w:cs="Times New Roman"/>
          <w:sz w:val="24"/>
          <w:szCs w:val="24"/>
        </w:rPr>
        <w:t xml:space="preserve">bankruptcy. The impact </w:t>
      </w:r>
      <w:r w:rsidR="004116D4">
        <w:rPr>
          <w:rFonts w:ascii="Times New Roman" w:hAnsi="Times New Roman" w:cs="Times New Roman"/>
          <w:sz w:val="24"/>
          <w:szCs w:val="24"/>
        </w:rPr>
        <w:t>of</w:t>
      </w:r>
      <w:r w:rsidR="004116D4" w:rsidRPr="00C53AD0">
        <w:rPr>
          <w:rFonts w:ascii="Times New Roman" w:hAnsi="Times New Roman" w:cs="Times New Roman"/>
          <w:sz w:val="24"/>
          <w:szCs w:val="24"/>
        </w:rPr>
        <w:t xml:space="preserve"> cash holdings on bankruptcy risk depends on </w:t>
      </w:r>
      <w:r w:rsidR="004116D4">
        <w:rPr>
          <w:rFonts w:ascii="Times New Roman" w:hAnsi="Times New Roman" w:cs="Times New Roman"/>
          <w:sz w:val="24"/>
          <w:szCs w:val="24"/>
        </w:rPr>
        <w:t>the</w:t>
      </w:r>
      <w:r w:rsidR="004116D4" w:rsidRPr="00C53AD0">
        <w:rPr>
          <w:rFonts w:ascii="Times New Roman" w:hAnsi="Times New Roman" w:cs="Times New Roman"/>
          <w:sz w:val="24"/>
          <w:szCs w:val="24"/>
        </w:rPr>
        <w:t xml:space="preserve"> characteristics </w:t>
      </w:r>
      <w:r w:rsidR="004116D4">
        <w:rPr>
          <w:rFonts w:ascii="Times New Roman" w:hAnsi="Times New Roman" w:cs="Times New Roman"/>
          <w:sz w:val="24"/>
          <w:szCs w:val="24"/>
        </w:rPr>
        <w:t xml:space="preserve">of the firm and industry </w:t>
      </w:r>
      <w:r w:rsidR="004116D4" w:rsidRPr="00C53AD0">
        <w:rPr>
          <w:rFonts w:ascii="Times New Roman" w:hAnsi="Times New Roman" w:cs="Times New Roman"/>
          <w:sz w:val="24"/>
          <w:szCs w:val="24"/>
        </w:rPr>
        <w:t xml:space="preserve">that influence the relative significance of these two reactions. Other than credit risk, the </w:t>
      </w:r>
      <w:r w:rsidR="004116D4">
        <w:rPr>
          <w:rFonts w:ascii="Times New Roman" w:hAnsi="Times New Roman" w:cs="Times New Roman"/>
          <w:sz w:val="24"/>
          <w:szCs w:val="24"/>
        </w:rPr>
        <w:t>cash-holding</w:t>
      </w:r>
      <w:r w:rsidR="004116D4" w:rsidRPr="00C53AD0">
        <w:rPr>
          <w:rFonts w:ascii="Times New Roman" w:hAnsi="Times New Roman" w:cs="Times New Roman"/>
          <w:sz w:val="24"/>
          <w:szCs w:val="24"/>
        </w:rPr>
        <w:t xml:space="preserve"> level is influence</w:t>
      </w:r>
      <w:r w:rsidR="004116D4">
        <w:rPr>
          <w:rFonts w:ascii="Times New Roman" w:hAnsi="Times New Roman" w:cs="Times New Roman"/>
          <w:sz w:val="24"/>
          <w:szCs w:val="24"/>
        </w:rPr>
        <w:t>d</w:t>
      </w:r>
      <w:r w:rsidR="004116D4" w:rsidRPr="00C53AD0">
        <w:rPr>
          <w:rFonts w:ascii="Times New Roman" w:hAnsi="Times New Roman" w:cs="Times New Roman"/>
          <w:sz w:val="24"/>
          <w:szCs w:val="24"/>
        </w:rPr>
        <w:t xml:space="preserve"> by cost of capital that</w:t>
      </w:r>
      <w:r w:rsidR="004116D4">
        <w:rPr>
          <w:rFonts w:ascii="Times New Roman" w:hAnsi="Times New Roman" w:cs="Times New Roman"/>
          <w:sz w:val="24"/>
          <w:szCs w:val="24"/>
        </w:rPr>
        <w:t xml:space="preserve"> is</w:t>
      </w:r>
      <w:r w:rsidR="004116D4" w:rsidRPr="00C53AD0">
        <w:rPr>
          <w:rFonts w:ascii="Times New Roman" w:hAnsi="Times New Roman" w:cs="Times New Roman"/>
          <w:sz w:val="24"/>
          <w:szCs w:val="24"/>
        </w:rPr>
        <w:t xml:space="preserve"> incurred when</w:t>
      </w:r>
      <w:r w:rsidR="004116D4">
        <w:rPr>
          <w:rFonts w:ascii="Times New Roman" w:hAnsi="Times New Roman" w:cs="Times New Roman"/>
          <w:sz w:val="24"/>
          <w:szCs w:val="24"/>
        </w:rPr>
        <w:t xml:space="preserve"> there are insufficient liquid assets</w:t>
      </w:r>
      <w:r w:rsidR="004116D4" w:rsidRPr="00C53AD0">
        <w:rPr>
          <w:rFonts w:ascii="Times New Roman" w:hAnsi="Times New Roman" w:cs="Times New Roman"/>
          <w:sz w:val="24"/>
          <w:szCs w:val="24"/>
        </w:rPr>
        <w:t xml:space="preserve"> to finance </w:t>
      </w:r>
      <w:r w:rsidR="004116D4">
        <w:rPr>
          <w:rFonts w:ascii="Times New Roman" w:hAnsi="Times New Roman" w:cs="Times New Roman"/>
          <w:sz w:val="24"/>
          <w:szCs w:val="24"/>
        </w:rPr>
        <w:t>a firm’s</w:t>
      </w:r>
      <w:r w:rsidR="004116D4" w:rsidRPr="00C53AD0">
        <w:rPr>
          <w:rFonts w:ascii="Times New Roman" w:hAnsi="Times New Roman" w:cs="Times New Roman"/>
          <w:sz w:val="24"/>
          <w:szCs w:val="24"/>
        </w:rPr>
        <w:t xml:space="preserve"> obligation</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The increase in cost of capital burden</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the cash flow</w:t>
      </w:r>
      <w:r w:rsidR="004116D4">
        <w:rPr>
          <w:rFonts w:ascii="Times New Roman" w:hAnsi="Times New Roman" w:cs="Times New Roman"/>
          <w:sz w:val="24"/>
          <w:szCs w:val="24"/>
        </w:rPr>
        <w:t>, and may lead to a h</w:t>
      </w:r>
      <w:r w:rsidR="004116D4" w:rsidRPr="00C53AD0">
        <w:rPr>
          <w:rFonts w:ascii="Times New Roman" w:hAnsi="Times New Roman" w:cs="Times New Roman"/>
          <w:sz w:val="24"/>
          <w:szCs w:val="24"/>
        </w:rPr>
        <w:t>igher liquidity risk due to</w:t>
      </w:r>
      <w:r w:rsidR="004116D4">
        <w:rPr>
          <w:rFonts w:ascii="Times New Roman" w:hAnsi="Times New Roman" w:cs="Times New Roman"/>
          <w:sz w:val="24"/>
          <w:szCs w:val="24"/>
        </w:rPr>
        <w:t xml:space="preserve"> the</w:t>
      </w:r>
      <w:r w:rsidR="004116D4" w:rsidRPr="00C53AD0">
        <w:rPr>
          <w:rFonts w:ascii="Times New Roman" w:hAnsi="Times New Roman" w:cs="Times New Roman"/>
          <w:sz w:val="24"/>
          <w:szCs w:val="24"/>
        </w:rPr>
        <w:t xml:space="preserve"> uncertainty</w:t>
      </w:r>
      <w:r w:rsidR="004116D4">
        <w:rPr>
          <w:rFonts w:ascii="Times New Roman" w:hAnsi="Times New Roman" w:cs="Times New Roman"/>
          <w:sz w:val="24"/>
          <w:szCs w:val="24"/>
        </w:rPr>
        <w:t xml:space="preserve"> of</w:t>
      </w:r>
      <w:r w:rsidR="004116D4" w:rsidRPr="00C53AD0">
        <w:rPr>
          <w:rFonts w:ascii="Times New Roman" w:hAnsi="Times New Roman" w:cs="Times New Roman"/>
          <w:sz w:val="24"/>
          <w:szCs w:val="24"/>
        </w:rPr>
        <w:t xml:space="preserve"> cash outflow in</w:t>
      </w:r>
      <w:r w:rsidR="004116D4">
        <w:rPr>
          <w:rFonts w:ascii="Times New Roman" w:hAnsi="Times New Roman" w:cs="Times New Roman"/>
          <w:sz w:val="24"/>
          <w:szCs w:val="24"/>
        </w:rPr>
        <w:t xml:space="preserve"> the future. Therefore</w:t>
      </w:r>
      <w:r w:rsidR="004116D4" w:rsidRPr="00C53AD0">
        <w:rPr>
          <w:rFonts w:ascii="Times New Roman" w:hAnsi="Times New Roman" w:cs="Times New Roman"/>
          <w:sz w:val="24"/>
          <w:szCs w:val="24"/>
        </w:rPr>
        <w:t xml:space="preserve"> the rise in liquidity risk will lead to</w:t>
      </w:r>
      <w:r w:rsidR="004116D4">
        <w:rPr>
          <w:rFonts w:ascii="Times New Roman" w:hAnsi="Times New Roman" w:cs="Times New Roman"/>
          <w:sz w:val="24"/>
          <w:szCs w:val="24"/>
        </w:rPr>
        <w:t xml:space="preserve"> a</w:t>
      </w:r>
      <w:r w:rsidR="004116D4" w:rsidRPr="00C53AD0">
        <w:rPr>
          <w:rFonts w:ascii="Times New Roman" w:hAnsi="Times New Roman" w:cs="Times New Roman"/>
          <w:sz w:val="24"/>
          <w:szCs w:val="24"/>
        </w:rPr>
        <w:t xml:space="preserve"> higher need </w:t>
      </w:r>
      <w:r w:rsidR="004116D4">
        <w:rPr>
          <w:rFonts w:ascii="Times New Roman" w:hAnsi="Times New Roman" w:cs="Times New Roman"/>
          <w:sz w:val="24"/>
          <w:szCs w:val="24"/>
        </w:rPr>
        <w:t>for</w:t>
      </w:r>
      <w:r w:rsidR="004116D4" w:rsidRPr="00C53AD0">
        <w:rPr>
          <w:rFonts w:ascii="Times New Roman" w:hAnsi="Times New Roman" w:cs="Times New Roman"/>
          <w:sz w:val="24"/>
          <w:szCs w:val="24"/>
        </w:rPr>
        <w:t xml:space="preserve"> holding more cash (</w:t>
      </w:r>
      <w:proofErr w:type="spellStart"/>
      <w:r w:rsidR="004116D4" w:rsidRPr="00C53AD0">
        <w:rPr>
          <w:rFonts w:ascii="Times New Roman" w:hAnsi="Times New Roman" w:cs="Times New Roman"/>
          <w:sz w:val="24"/>
          <w:szCs w:val="24"/>
        </w:rPr>
        <w:t>Guldimann</w:t>
      </w:r>
      <w:proofErr w:type="spellEnd"/>
      <w:r w:rsidR="004116D4" w:rsidRPr="00C53AD0">
        <w:rPr>
          <w:rFonts w:ascii="Times New Roman" w:hAnsi="Times New Roman" w:cs="Times New Roman"/>
          <w:sz w:val="24"/>
          <w:szCs w:val="24"/>
        </w:rPr>
        <w:t>, 1994).</w:t>
      </w:r>
    </w:p>
    <w:p w:rsidR="004116D4" w:rsidRDefault="00625A8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116D4">
        <w:rPr>
          <w:rFonts w:ascii="Times New Roman" w:hAnsi="Times New Roman" w:cs="Times New Roman"/>
          <w:sz w:val="24"/>
          <w:szCs w:val="24"/>
        </w:rPr>
        <w:t>Mamdouh</w:t>
      </w:r>
      <w:proofErr w:type="spellEnd"/>
      <w:r w:rsidR="004116D4">
        <w:rPr>
          <w:rFonts w:ascii="Times New Roman" w:hAnsi="Times New Roman" w:cs="Times New Roman"/>
          <w:sz w:val="24"/>
          <w:szCs w:val="24"/>
        </w:rPr>
        <w:t xml:space="preserve"> </w:t>
      </w:r>
      <w:proofErr w:type="spellStart"/>
      <w:r w:rsidR="004116D4">
        <w:rPr>
          <w:rFonts w:ascii="Times New Roman" w:hAnsi="Times New Roman" w:cs="Times New Roman"/>
          <w:sz w:val="24"/>
          <w:szCs w:val="24"/>
        </w:rPr>
        <w:t>Medhata</w:t>
      </w:r>
      <w:proofErr w:type="spellEnd"/>
      <w:r w:rsidR="004116D4">
        <w:rPr>
          <w:rFonts w:ascii="Times New Roman" w:hAnsi="Times New Roman" w:cs="Times New Roman"/>
          <w:sz w:val="24"/>
          <w:szCs w:val="24"/>
        </w:rPr>
        <w:t xml:space="preserve"> (2014) studied</w:t>
      </w:r>
      <w:r w:rsidR="004116D4" w:rsidRPr="00C53AD0">
        <w:rPr>
          <w:rFonts w:ascii="Times New Roman" w:hAnsi="Times New Roman" w:cs="Times New Roman"/>
          <w:sz w:val="24"/>
          <w:szCs w:val="24"/>
        </w:rPr>
        <w:t xml:space="preserve"> the default leve</w:t>
      </w:r>
      <w:r w:rsidR="004116D4">
        <w:rPr>
          <w:rFonts w:ascii="Times New Roman" w:hAnsi="Times New Roman" w:cs="Times New Roman"/>
          <w:sz w:val="24"/>
          <w:szCs w:val="24"/>
        </w:rPr>
        <w:t xml:space="preserve">ls </w:t>
      </w:r>
      <w:r w:rsidR="004116D4" w:rsidRPr="00C53AD0">
        <w:rPr>
          <w:rFonts w:ascii="Times New Roman" w:hAnsi="Times New Roman" w:cs="Times New Roman"/>
          <w:sz w:val="24"/>
          <w:szCs w:val="24"/>
        </w:rPr>
        <w:t>and financing constraints</w:t>
      </w:r>
      <w:r w:rsidR="004116D4">
        <w:rPr>
          <w:rFonts w:ascii="Times New Roman" w:hAnsi="Times New Roman" w:cs="Times New Roman"/>
          <w:sz w:val="24"/>
          <w:szCs w:val="24"/>
        </w:rPr>
        <w:t xml:space="preserve"> for</w:t>
      </w:r>
      <w:r w:rsidR="004116D4" w:rsidRPr="00C53AD0">
        <w:rPr>
          <w:rFonts w:ascii="Times New Roman" w:hAnsi="Times New Roman" w:cs="Times New Roman"/>
          <w:sz w:val="24"/>
          <w:szCs w:val="24"/>
        </w:rPr>
        <w:t xml:space="preserve"> firms,</w:t>
      </w:r>
      <w:r w:rsidR="004116D4">
        <w:rPr>
          <w:rFonts w:ascii="Times New Roman" w:hAnsi="Times New Roman" w:cs="Times New Roman"/>
          <w:sz w:val="24"/>
          <w:szCs w:val="24"/>
        </w:rPr>
        <w:t xml:space="preserve"> as liquidity and solvency factors</w:t>
      </w:r>
      <w:r w:rsidR="004116D4" w:rsidRPr="00C53AD0">
        <w:rPr>
          <w:rFonts w:ascii="Times New Roman" w:hAnsi="Times New Roman" w:cs="Times New Roman"/>
          <w:sz w:val="24"/>
          <w:szCs w:val="24"/>
        </w:rPr>
        <w:t xml:space="preserve"> have</w:t>
      </w:r>
      <w:r w:rsidR="004116D4">
        <w:rPr>
          <w:rFonts w:ascii="Times New Roman" w:hAnsi="Times New Roman" w:cs="Times New Roman"/>
          <w:sz w:val="24"/>
          <w:szCs w:val="24"/>
        </w:rPr>
        <w:t xml:space="preserve"> already been investigated. He concluded that leveraged</w:t>
      </w:r>
      <w:r w:rsidR="004116D4" w:rsidRPr="00C53AD0">
        <w:rPr>
          <w:rFonts w:ascii="Times New Roman" w:hAnsi="Times New Roman" w:cs="Times New Roman"/>
          <w:sz w:val="24"/>
          <w:szCs w:val="24"/>
        </w:rPr>
        <w:t xml:space="preserve"> firms tend to minimize liquidity risk by controlling the</w:t>
      </w:r>
      <w:r w:rsidR="004116D4">
        <w:rPr>
          <w:rFonts w:ascii="Times New Roman" w:hAnsi="Times New Roman" w:cs="Times New Roman"/>
          <w:sz w:val="24"/>
          <w:szCs w:val="24"/>
        </w:rPr>
        <w:t>ir</w:t>
      </w:r>
      <w:r w:rsidR="004116D4" w:rsidRPr="00C53AD0">
        <w:rPr>
          <w:rFonts w:ascii="Times New Roman" w:hAnsi="Times New Roman" w:cs="Times New Roman"/>
          <w:sz w:val="24"/>
          <w:szCs w:val="24"/>
        </w:rPr>
        <w:t xml:space="preserve"> cash holdings</w:t>
      </w:r>
      <w:r w:rsidR="004116D4">
        <w:rPr>
          <w:rFonts w:ascii="Times New Roman" w:hAnsi="Times New Roman" w:cs="Times New Roman"/>
          <w:sz w:val="24"/>
          <w:szCs w:val="24"/>
        </w:rPr>
        <w:t xml:space="preserve">; </w:t>
      </w:r>
      <w:r w:rsidR="004116D4" w:rsidRPr="00C53AD0">
        <w:rPr>
          <w:rFonts w:ascii="Times New Roman" w:hAnsi="Times New Roman" w:cs="Times New Roman"/>
          <w:sz w:val="24"/>
          <w:szCs w:val="24"/>
        </w:rPr>
        <w:t>default caused by liquidity risk</w:t>
      </w:r>
      <w:r w:rsidR="004116D4">
        <w:rPr>
          <w:rFonts w:ascii="Times New Roman" w:hAnsi="Times New Roman" w:cs="Times New Roman"/>
          <w:sz w:val="24"/>
          <w:szCs w:val="24"/>
        </w:rPr>
        <w:t xml:space="preserve"> is </w:t>
      </w:r>
      <w:r w:rsidR="004116D4" w:rsidRPr="00C53AD0">
        <w:rPr>
          <w:rFonts w:ascii="Times New Roman" w:hAnsi="Times New Roman" w:cs="Times New Roman"/>
          <w:sz w:val="24"/>
          <w:szCs w:val="24"/>
        </w:rPr>
        <w:t>due to lack of liquidity in cover</w:t>
      </w:r>
      <w:r w:rsidR="004116D4">
        <w:rPr>
          <w:rFonts w:ascii="Times New Roman" w:hAnsi="Times New Roman" w:cs="Times New Roman"/>
          <w:sz w:val="24"/>
          <w:szCs w:val="24"/>
        </w:rPr>
        <w:t>ing</w:t>
      </w:r>
      <w:r w:rsidR="004116D4" w:rsidRPr="00C53AD0">
        <w:rPr>
          <w:rFonts w:ascii="Times New Roman" w:hAnsi="Times New Roman" w:cs="Times New Roman"/>
          <w:sz w:val="24"/>
          <w:szCs w:val="24"/>
        </w:rPr>
        <w:t xml:space="preserve"> coupon payment</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that</w:t>
      </w:r>
      <w:r w:rsidR="004116D4">
        <w:rPr>
          <w:rFonts w:ascii="Times New Roman" w:hAnsi="Times New Roman" w:cs="Times New Roman"/>
          <w:sz w:val="24"/>
          <w:szCs w:val="24"/>
        </w:rPr>
        <w:t xml:space="preserve"> were </w:t>
      </w:r>
      <w:r w:rsidR="004116D4" w:rsidRPr="00C53AD0">
        <w:rPr>
          <w:rFonts w:ascii="Times New Roman" w:hAnsi="Times New Roman" w:cs="Times New Roman"/>
          <w:sz w:val="24"/>
          <w:szCs w:val="24"/>
        </w:rPr>
        <w:t>due. The cash balance h</w:t>
      </w:r>
      <w:r w:rsidR="004116D4">
        <w:rPr>
          <w:rFonts w:ascii="Times New Roman" w:hAnsi="Times New Roman" w:cs="Times New Roman"/>
          <w:sz w:val="24"/>
          <w:szCs w:val="24"/>
        </w:rPr>
        <w:t>e</w:t>
      </w:r>
      <w:r w:rsidR="004116D4" w:rsidRPr="00C53AD0">
        <w:rPr>
          <w:rFonts w:ascii="Times New Roman" w:hAnsi="Times New Roman" w:cs="Times New Roman"/>
          <w:sz w:val="24"/>
          <w:szCs w:val="24"/>
        </w:rPr>
        <w:t>ld to eliminate liquidity risk follow</w:t>
      </w:r>
      <w:r w:rsidR="004116D4">
        <w:rPr>
          <w:rFonts w:ascii="Times New Roman" w:hAnsi="Times New Roman" w:cs="Times New Roman"/>
          <w:sz w:val="24"/>
          <w:szCs w:val="24"/>
        </w:rPr>
        <w:t xml:space="preserve">s the </w:t>
      </w:r>
      <w:r w:rsidR="004116D4" w:rsidRPr="00C53AD0">
        <w:rPr>
          <w:rFonts w:ascii="Times New Roman" w:hAnsi="Times New Roman" w:cs="Times New Roman"/>
          <w:sz w:val="24"/>
          <w:szCs w:val="24"/>
        </w:rPr>
        <w:t>trade</w:t>
      </w:r>
      <w:r w:rsidR="004116D4">
        <w:rPr>
          <w:rFonts w:ascii="Times New Roman" w:hAnsi="Times New Roman" w:cs="Times New Roman"/>
          <w:sz w:val="24"/>
          <w:szCs w:val="24"/>
        </w:rPr>
        <w:t>-</w:t>
      </w:r>
      <w:r w:rsidR="004116D4" w:rsidRPr="00C53AD0">
        <w:rPr>
          <w:rFonts w:ascii="Times New Roman" w:hAnsi="Times New Roman" w:cs="Times New Roman"/>
          <w:sz w:val="24"/>
          <w:szCs w:val="24"/>
        </w:rPr>
        <w:t>off theory, which measure</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the cost</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and benefit</w:t>
      </w:r>
      <w:r w:rsidR="004116D4">
        <w:rPr>
          <w:rFonts w:ascii="Times New Roman" w:hAnsi="Times New Roman" w:cs="Times New Roman"/>
          <w:sz w:val="24"/>
          <w:szCs w:val="24"/>
        </w:rPr>
        <w:t>s</w:t>
      </w:r>
      <w:r w:rsidR="004116D4" w:rsidRPr="00C53AD0">
        <w:rPr>
          <w:rFonts w:ascii="Times New Roman" w:hAnsi="Times New Roman" w:cs="Times New Roman"/>
          <w:sz w:val="24"/>
          <w:szCs w:val="24"/>
        </w:rPr>
        <w:t xml:space="preserve"> of holding cash. Cash holdings </w:t>
      </w:r>
      <w:r w:rsidR="004116D4">
        <w:rPr>
          <w:rFonts w:ascii="Times New Roman" w:hAnsi="Times New Roman" w:cs="Times New Roman"/>
          <w:sz w:val="24"/>
          <w:szCs w:val="24"/>
        </w:rPr>
        <w:t>will</w:t>
      </w:r>
      <w:r w:rsidR="004116D4" w:rsidRPr="00C53AD0">
        <w:rPr>
          <w:rFonts w:ascii="Times New Roman" w:hAnsi="Times New Roman" w:cs="Times New Roman"/>
          <w:sz w:val="24"/>
          <w:szCs w:val="24"/>
        </w:rPr>
        <w:t xml:space="preserve"> decrease for le</w:t>
      </w:r>
      <w:r w:rsidR="004116D4">
        <w:rPr>
          <w:rFonts w:ascii="Times New Roman" w:hAnsi="Times New Roman" w:cs="Times New Roman"/>
          <w:sz w:val="24"/>
          <w:szCs w:val="24"/>
        </w:rPr>
        <w:t xml:space="preserve">ss solvent firms as they </w:t>
      </w:r>
      <w:proofErr w:type="spellStart"/>
      <w:r w:rsidR="004116D4">
        <w:rPr>
          <w:rFonts w:ascii="Times New Roman" w:hAnsi="Times New Roman" w:cs="Times New Roman"/>
          <w:sz w:val="24"/>
          <w:szCs w:val="24"/>
        </w:rPr>
        <w:t>practis</w:t>
      </w:r>
      <w:r w:rsidR="004116D4" w:rsidRPr="00C53AD0">
        <w:rPr>
          <w:rFonts w:ascii="Times New Roman" w:hAnsi="Times New Roman" w:cs="Times New Roman"/>
          <w:sz w:val="24"/>
          <w:szCs w:val="24"/>
        </w:rPr>
        <w:t>e</w:t>
      </w:r>
      <w:proofErr w:type="spellEnd"/>
      <w:r w:rsidR="004116D4" w:rsidRPr="00C53AD0">
        <w:rPr>
          <w:rFonts w:ascii="Times New Roman" w:hAnsi="Times New Roman" w:cs="Times New Roman"/>
          <w:sz w:val="24"/>
          <w:szCs w:val="24"/>
        </w:rPr>
        <w:t xml:space="preserve"> with lesser earnings-shortfalls</w:t>
      </w:r>
      <w:r w:rsidR="004116D4">
        <w:rPr>
          <w:rFonts w:ascii="Times New Roman" w:hAnsi="Times New Roman" w:cs="Times New Roman"/>
          <w:sz w:val="24"/>
          <w:szCs w:val="24"/>
        </w:rPr>
        <w:t>,</w:t>
      </w:r>
      <w:r w:rsidR="004116D4" w:rsidRPr="00C53AD0">
        <w:rPr>
          <w:rFonts w:ascii="Times New Roman" w:hAnsi="Times New Roman" w:cs="Times New Roman"/>
          <w:sz w:val="24"/>
          <w:szCs w:val="24"/>
        </w:rPr>
        <w:t xml:space="preserve"> and therefore</w:t>
      </w:r>
      <w:r w:rsidR="004116D4">
        <w:rPr>
          <w:rFonts w:ascii="Times New Roman" w:hAnsi="Times New Roman" w:cs="Times New Roman"/>
          <w:sz w:val="24"/>
          <w:szCs w:val="24"/>
        </w:rPr>
        <w:t xml:space="preserve"> have a lower demand for</w:t>
      </w:r>
      <w:r w:rsidR="004116D4" w:rsidRPr="00C53AD0">
        <w:rPr>
          <w:rFonts w:ascii="Times New Roman" w:hAnsi="Times New Roman" w:cs="Times New Roman"/>
          <w:sz w:val="24"/>
          <w:szCs w:val="24"/>
        </w:rPr>
        <w:t xml:space="preserve"> cash level</w:t>
      </w:r>
      <w:r w:rsidR="004116D4">
        <w:rPr>
          <w:rFonts w:ascii="Times New Roman" w:hAnsi="Times New Roman" w:cs="Times New Roman"/>
          <w:sz w:val="24"/>
          <w:szCs w:val="24"/>
        </w:rPr>
        <w:t xml:space="preserve">s. From his study, </w:t>
      </w:r>
      <w:r w:rsidR="004116D4" w:rsidRPr="00C53AD0">
        <w:rPr>
          <w:rFonts w:ascii="Times New Roman" w:hAnsi="Times New Roman" w:cs="Times New Roman"/>
          <w:sz w:val="24"/>
          <w:szCs w:val="24"/>
        </w:rPr>
        <w:t>solvency and liquidity risks are positive</w:t>
      </w:r>
      <w:r w:rsidR="004116D4">
        <w:rPr>
          <w:rFonts w:ascii="Times New Roman" w:hAnsi="Times New Roman" w:cs="Times New Roman"/>
          <w:sz w:val="24"/>
          <w:szCs w:val="24"/>
        </w:rPr>
        <w:t>ly related to</w:t>
      </w:r>
      <w:r w:rsidR="004116D4" w:rsidRPr="00C53AD0">
        <w:rPr>
          <w:rFonts w:ascii="Times New Roman" w:hAnsi="Times New Roman" w:cs="Times New Roman"/>
          <w:sz w:val="24"/>
          <w:szCs w:val="24"/>
        </w:rPr>
        <w:t xml:space="preserve"> c</w:t>
      </w:r>
      <w:r w:rsidR="004116D4">
        <w:rPr>
          <w:rFonts w:ascii="Times New Roman" w:hAnsi="Times New Roman" w:cs="Times New Roman"/>
          <w:sz w:val="24"/>
          <w:szCs w:val="24"/>
        </w:rPr>
        <w:t>ash holdings. Furthermore, high-</w:t>
      </w:r>
      <w:r w:rsidR="004116D4" w:rsidRPr="00C53AD0">
        <w:rPr>
          <w:rFonts w:ascii="Times New Roman" w:hAnsi="Times New Roman" w:cs="Times New Roman"/>
          <w:sz w:val="24"/>
          <w:szCs w:val="24"/>
        </w:rPr>
        <w:t>cas</w:t>
      </w:r>
      <w:r w:rsidR="004116D4">
        <w:rPr>
          <w:rFonts w:ascii="Times New Roman" w:hAnsi="Times New Roman" w:cs="Times New Roman"/>
          <w:sz w:val="24"/>
          <w:szCs w:val="24"/>
        </w:rPr>
        <w:t>h firms perform better than low-</w:t>
      </w:r>
      <w:r w:rsidR="004116D4" w:rsidRPr="00C53AD0">
        <w:rPr>
          <w:rFonts w:ascii="Times New Roman" w:hAnsi="Times New Roman" w:cs="Times New Roman"/>
          <w:sz w:val="24"/>
          <w:szCs w:val="24"/>
        </w:rPr>
        <w:t>cash firms if solvency decreases.</w:t>
      </w:r>
    </w:p>
    <w:p w:rsidR="004116D4" w:rsidRPr="00BC3682" w:rsidRDefault="00625A84" w:rsidP="00EF351B">
      <w:pPr>
        <w:tabs>
          <w:tab w:val="left" w:pos="81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116D4" w:rsidRPr="00BC3682">
        <w:rPr>
          <w:rFonts w:ascii="Times New Roman" w:hAnsi="Times New Roman" w:cs="Times New Roman"/>
          <w:color w:val="000000"/>
          <w:sz w:val="24"/>
          <w:szCs w:val="24"/>
        </w:rPr>
        <w:t>To achieve the third o</w:t>
      </w:r>
      <w:r w:rsidR="004116D4">
        <w:rPr>
          <w:rFonts w:ascii="Times New Roman" w:hAnsi="Times New Roman" w:cs="Times New Roman"/>
          <w:color w:val="000000"/>
          <w:sz w:val="24"/>
          <w:szCs w:val="24"/>
        </w:rPr>
        <w:t>bjective of this study, a panel-</w:t>
      </w:r>
      <w:r w:rsidR="004116D4" w:rsidRPr="00BC3682">
        <w:rPr>
          <w:rFonts w:ascii="Times New Roman" w:hAnsi="Times New Roman" w:cs="Times New Roman"/>
          <w:color w:val="000000"/>
          <w:sz w:val="24"/>
          <w:szCs w:val="24"/>
        </w:rPr>
        <w:t>regress</w:t>
      </w:r>
      <w:r w:rsidR="004116D4">
        <w:rPr>
          <w:rFonts w:ascii="Times New Roman" w:hAnsi="Times New Roman" w:cs="Times New Roman"/>
          <w:color w:val="000000"/>
          <w:sz w:val="24"/>
          <w:szCs w:val="24"/>
        </w:rPr>
        <w:t>ion approach is</w:t>
      </w:r>
      <w:r w:rsidR="004116D4" w:rsidRPr="00BC3682">
        <w:rPr>
          <w:rFonts w:ascii="Times New Roman" w:hAnsi="Times New Roman" w:cs="Times New Roman"/>
          <w:color w:val="000000"/>
          <w:sz w:val="24"/>
          <w:szCs w:val="24"/>
        </w:rPr>
        <w:t xml:space="preserve"> conducted by regress</w:t>
      </w:r>
      <w:r w:rsidR="004116D4">
        <w:rPr>
          <w:rFonts w:ascii="Times New Roman" w:hAnsi="Times New Roman" w:cs="Times New Roman"/>
          <w:color w:val="000000"/>
          <w:sz w:val="24"/>
          <w:szCs w:val="24"/>
        </w:rPr>
        <w:t xml:space="preserve">ing </w:t>
      </w:r>
      <w:r w:rsidR="004116D4" w:rsidRPr="00BC3682">
        <w:rPr>
          <w:rFonts w:ascii="Times New Roman" w:hAnsi="Times New Roman" w:cs="Times New Roman"/>
          <w:color w:val="000000"/>
          <w:sz w:val="24"/>
          <w:szCs w:val="24"/>
        </w:rPr>
        <w:t xml:space="preserve">cash holdings with </w:t>
      </w:r>
      <w:r w:rsidR="004116D4">
        <w:rPr>
          <w:rFonts w:ascii="Times New Roman" w:hAnsi="Times New Roman" w:cs="Times New Roman"/>
          <w:color w:val="000000"/>
          <w:sz w:val="24"/>
          <w:szCs w:val="24"/>
        </w:rPr>
        <w:t>financial ratio and</w:t>
      </w:r>
      <w:r w:rsidR="004116D4" w:rsidRPr="00BC3682">
        <w:rPr>
          <w:rFonts w:ascii="Times New Roman" w:hAnsi="Times New Roman" w:cs="Times New Roman"/>
          <w:color w:val="000000"/>
          <w:sz w:val="24"/>
          <w:szCs w:val="24"/>
        </w:rPr>
        <w:t xml:space="preserve"> risk factors. The cash level, similar with the previous objective, is measure</w:t>
      </w:r>
      <w:r w:rsidR="004116D4">
        <w:rPr>
          <w:rFonts w:ascii="Times New Roman" w:hAnsi="Times New Roman" w:cs="Times New Roman"/>
          <w:color w:val="000000"/>
          <w:sz w:val="24"/>
          <w:szCs w:val="24"/>
        </w:rPr>
        <w:t>d</w:t>
      </w:r>
      <w:r w:rsidR="004116D4" w:rsidRPr="00BC3682">
        <w:rPr>
          <w:rFonts w:ascii="Times New Roman" w:hAnsi="Times New Roman" w:cs="Times New Roman"/>
          <w:color w:val="000000"/>
          <w:sz w:val="24"/>
          <w:szCs w:val="24"/>
        </w:rPr>
        <w:t xml:space="preserve"> by cash and </w:t>
      </w:r>
      <w:r w:rsidR="004116D4">
        <w:rPr>
          <w:rFonts w:ascii="Times New Roman" w:hAnsi="Times New Roman" w:cs="Times New Roman"/>
          <w:color w:val="000000"/>
          <w:sz w:val="24"/>
          <w:szCs w:val="24"/>
        </w:rPr>
        <w:t>its</w:t>
      </w:r>
      <w:r w:rsidR="004116D4" w:rsidRPr="00BC3682">
        <w:rPr>
          <w:rFonts w:ascii="Times New Roman" w:hAnsi="Times New Roman" w:cs="Times New Roman"/>
          <w:color w:val="000000"/>
          <w:sz w:val="24"/>
          <w:szCs w:val="24"/>
        </w:rPr>
        <w:t xml:space="preserve"> equivalent</w:t>
      </w:r>
      <w:r w:rsidR="004116D4">
        <w:rPr>
          <w:rFonts w:ascii="Times New Roman" w:hAnsi="Times New Roman" w:cs="Times New Roman"/>
          <w:color w:val="000000"/>
          <w:sz w:val="24"/>
          <w:szCs w:val="24"/>
        </w:rPr>
        <w:t>s</w:t>
      </w:r>
      <w:r w:rsidR="004116D4" w:rsidRPr="00BC3682">
        <w:rPr>
          <w:rFonts w:ascii="Times New Roman" w:hAnsi="Times New Roman" w:cs="Times New Roman"/>
          <w:color w:val="000000"/>
          <w:sz w:val="24"/>
          <w:szCs w:val="24"/>
        </w:rPr>
        <w:t xml:space="preserve"> over total assets minus cash. </w:t>
      </w:r>
      <w:r w:rsidR="004116D4">
        <w:rPr>
          <w:rFonts w:ascii="Times New Roman" w:hAnsi="Times New Roman" w:cs="Times New Roman"/>
          <w:color w:val="000000"/>
          <w:sz w:val="24"/>
          <w:szCs w:val="24"/>
        </w:rPr>
        <w:t>A dynamic panel-</w:t>
      </w:r>
      <w:r w:rsidR="004116D4" w:rsidRPr="00BC3682">
        <w:rPr>
          <w:rFonts w:ascii="Times New Roman" w:hAnsi="Times New Roman" w:cs="Times New Roman"/>
          <w:color w:val="000000"/>
          <w:sz w:val="24"/>
          <w:szCs w:val="24"/>
        </w:rPr>
        <w:t>data model is required to examine the relati</w:t>
      </w:r>
      <w:r w:rsidR="004116D4">
        <w:rPr>
          <w:rFonts w:ascii="Times New Roman" w:hAnsi="Times New Roman" w:cs="Times New Roman"/>
          <w:color w:val="000000"/>
          <w:sz w:val="24"/>
          <w:szCs w:val="24"/>
        </w:rPr>
        <w:t>onship between cash holdings,</w:t>
      </w:r>
      <w:r w:rsidR="004116D4" w:rsidRPr="00BC3682">
        <w:rPr>
          <w:rFonts w:ascii="Times New Roman" w:hAnsi="Times New Roman" w:cs="Times New Roman"/>
          <w:color w:val="000000"/>
          <w:sz w:val="24"/>
          <w:szCs w:val="24"/>
        </w:rPr>
        <w:t xml:space="preserve"> </w:t>
      </w:r>
      <w:r w:rsidR="004116D4">
        <w:rPr>
          <w:rFonts w:ascii="Times New Roman" w:hAnsi="Times New Roman" w:cs="Times New Roman"/>
          <w:color w:val="000000"/>
          <w:sz w:val="24"/>
          <w:szCs w:val="24"/>
        </w:rPr>
        <w:lastRenderedPageBreak/>
        <w:t>financial ratio and</w:t>
      </w:r>
      <w:r w:rsidR="004116D4" w:rsidRPr="00BC3682">
        <w:rPr>
          <w:rFonts w:ascii="Times New Roman" w:hAnsi="Times New Roman" w:cs="Times New Roman"/>
          <w:color w:val="000000"/>
          <w:sz w:val="24"/>
          <w:szCs w:val="24"/>
        </w:rPr>
        <w:t xml:space="preserve"> risk factors in order to associate</w:t>
      </w:r>
      <w:r w:rsidR="004116D4">
        <w:rPr>
          <w:rFonts w:ascii="Times New Roman" w:hAnsi="Times New Roman" w:cs="Times New Roman"/>
          <w:color w:val="000000"/>
          <w:sz w:val="24"/>
          <w:szCs w:val="24"/>
        </w:rPr>
        <w:t xml:space="preserve"> them</w:t>
      </w:r>
      <w:r w:rsidR="004116D4" w:rsidRPr="00BC3682">
        <w:rPr>
          <w:rFonts w:ascii="Times New Roman" w:hAnsi="Times New Roman" w:cs="Times New Roman"/>
          <w:color w:val="000000"/>
          <w:sz w:val="24"/>
          <w:szCs w:val="24"/>
        </w:rPr>
        <w:t xml:space="preserve"> with the potential dynamic nature of cash holdings. </w:t>
      </w:r>
    </w:p>
    <w:p w:rsidR="004116D4" w:rsidRPr="003D18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lot of work has been done on determinants of cash holdings. H</w:t>
      </w:r>
      <w:r w:rsidRPr="003D18D4">
        <w:rPr>
          <w:rFonts w:ascii="Times New Roman" w:hAnsi="Times New Roman" w:cs="Times New Roman"/>
          <w:sz w:val="24"/>
          <w:szCs w:val="24"/>
        </w:rPr>
        <w:t>owever, the elements found</w:t>
      </w:r>
      <w:r>
        <w:rPr>
          <w:rFonts w:ascii="Times New Roman" w:hAnsi="Times New Roman" w:cs="Times New Roman"/>
          <w:sz w:val="24"/>
          <w:szCs w:val="24"/>
        </w:rPr>
        <w:t xml:space="preserve"> to relate to </w:t>
      </w:r>
      <w:r w:rsidRPr="003D18D4">
        <w:rPr>
          <w:rFonts w:ascii="Times New Roman" w:hAnsi="Times New Roman" w:cs="Times New Roman"/>
          <w:sz w:val="24"/>
          <w:szCs w:val="24"/>
        </w:rPr>
        <w:t xml:space="preserve">cash holdings are unable to mitigate the exposure of </w:t>
      </w:r>
      <w:r>
        <w:rPr>
          <w:rFonts w:ascii="Times New Roman" w:hAnsi="Times New Roman" w:cs="Times New Roman"/>
          <w:sz w:val="24"/>
          <w:szCs w:val="24"/>
        </w:rPr>
        <w:t xml:space="preserve">a </w:t>
      </w:r>
      <w:r w:rsidRPr="003D18D4">
        <w:rPr>
          <w:rFonts w:ascii="Times New Roman" w:hAnsi="Times New Roman" w:cs="Times New Roman"/>
          <w:sz w:val="24"/>
          <w:szCs w:val="24"/>
        </w:rPr>
        <w:t>firm to certain risk</w:t>
      </w:r>
      <w:r>
        <w:rPr>
          <w:rFonts w:ascii="Times New Roman" w:hAnsi="Times New Roman" w:cs="Times New Roman"/>
          <w:sz w:val="24"/>
          <w:szCs w:val="24"/>
        </w:rPr>
        <w:t>s</w:t>
      </w:r>
      <w:r w:rsidRPr="003D18D4">
        <w:rPr>
          <w:rFonts w:ascii="Times New Roman" w:hAnsi="Times New Roman" w:cs="Times New Roman"/>
          <w:sz w:val="24"/>
          <w:szCs w:val="24"/>
        </w:rPr>
        <w:t xml:space="preserve"> and fail to contribute </w:t>
      </w:r>
      <w:r>
        <w:rPr>
          <w:rFonts w:ascii="Times New Roman" w:hAnsi="Times New Roman" w:cs="Times New Roman"/>
          <w:sz w:val="24"/>
          <w:szCs w:val="24"/>
        </w:rPr>
        <w:t xml:space="preserve">to a </w:t>
      </w:r>
      <w:r w:rsidRPr="003D18D4">
        <w:rPr>
          <w:rFonts w:ascii="Times New Roman" w:hAnsi="Times New Roman" w:cs="Times New Roman"/>
          <w:sz w:val="24"/>
          <w:szCs w:val="24"/>
        </w:rPr>
        <w:t>firm</w:t>
      </w:r>
      <w:r>
        <w:rPr>
          <w:rFonts w:ascii="Times New Roman" w:hAnsi="Times New Roman" w:cs="Times New Roman"/>
          <w:sz w:val="24"/>
          <w:szCs w:val="24"/>
        </w:rPr>
        <w:t>’s</w:t>
      </w:r>
      <w:r w:rsidRPr="003D18D4">
        <w:rPr>
          <w:rFonts w:ascii="Times New Roman" w:hAnsi="Times New Roman" w:cs="Times New Roman"/>
          <w:sz w:val="24"/>
          <w:szCs w:val="24"/>
        </w:rPr>
        <w:t xml:space="preserve"> risk management,</w:t>
      </w:r>
      <w:r>
        <w:rPr>
          <w:rFonts w:ascii="Times New Roman" w:hAnsi="Times New Roman" w:cs="Times New Roman"/>
          <w:sz w:val="24"/>
          <w:szCs w:val="24"/>
        </w:rPr>
        <w:t xml:space="preserve"> whether towards financial ratios and</w:t>
      </w:r>
      <w:r w:rsidRPr="003D18D4">
        <w:rPr>
          <w:rFonts w:ascii="Times New Roman" w:hAnsi="Times New Roman" w:cs="Times New Roman"/>
          <w:sz w:val="24"/>
          <w:szCs w:val="24"/>
        </w:rPr>
        <w:t xml:space="preserve"> risk factors. Managing risk is one of the primary objectives of firms operating internationally (</w:t>
      </w:r>
      <w:proofErr w:type="spellStart"/>
      <w:r w:rsidRPr="003D18D4">
        <w:rPr>
          <w:rFonts w:ascii="Times New Roman" w:hAnsi="Times New Roman" w:cs="Times New Roman"/>
          <w:sz w:val="24"/>
          <w:szCs w:val="24"/>
        </w:rPr>
        <w:t>Ghoshal</w:t>
      </w:r>
      <w:proofErr w:type="spellEnd"/>
      <w:r w:rsidRPr="003D18D4">
        <w:rPr>
          <w:rFonts w:ascii="Times New Roman" w:hAnsi="Times New Roman" w:cs="Times New Roman"/>
          <w:sz w:val="24"/>
          <w:szCs w:val="24"/>
        </w:rPr>
        <w:t>, 1987). Cash holdings might</w:t>
      </w:r>
      <w:r>
        <w:rPr>
          <w:rFonts w:ascii="Times New Roman" w:hAnsi="Times New Roman" w:cs="Times New Roman"/>
          <w:sz w:val="24"/>
          <w:szCs w:val="24"/>
        </w:rPr>
        <w:t xml:space="preserve"> be</w:t>
      </w:r>
      <w:r w:rsidRPr="003D18D4">
        <w:rPr>
          <w:rFonts w:ascii="Times New Roman" w:hAnsi="Times New Roman" w:cs="Times New Roman"/>
          <w:sz w:val="24"/>
          <w:szCs w:val="24"/>
        </w:rPr>
        <w:t xml:space="preserve"> affect</w:t>
      </w:r>
      <w:r>
        <w:rPr>
          <w:rFonts w:ascii="Times New Roman" w:hAnsi="Times New Roman" w:cs="Times New Roman"/>
          <w:sz w:val="24"/>
          <w:szCs w:val="24"/>
        </w:rPr>
        <w:t>ed</w:t>
      </w:r>
      <w:r w:rsidRPr="003D18D4">
        <w:rPr>
          <w:rFonts w:ascii="Times New Roman" w:hAnsi="Times New Roman" w:cs="Times New Roman"/>
          <w:sz w:val="24"/>
          <w:szCs w:val="24"/>
        </w:rPr>
        <w:t xml:space="preserve"> by the changes in certain </w:t>
      </w:r>
      <w:r>
        <w:rPr>
          <w:rFonts w:ascii="Times New Roman" w:hAnsi="Times New Roman" w:cs="Times New Roman"/>
          <w:sz w:val="24"/>
          <w:szCs w:val="24"/>
        </w:rPr>
        <w:t xml:space="preserve">financial ratio and </w:t>
      </w:r>
      <w:r w:rsidRPr="003D18D4">
        <w:rPr>
          <w:rFonts w:ascii="Times New Roman" w:hAnsi="Times New Roman" w:cs="Times New Roman"/>
          <w:sz w:val="24"/>
          <w:szCs w:val="24"/>
        </w:rPr>
        <w:t>risk factors, and risk is the main issue that leads to</w:t>
      </w:r>
      <w:r>
        <w:rPr>
          <w:rFonts w:ascii="Times New Roman" w:hAnsi="Times New Roman" w:cs="Times New Roman"/>
          <w:sz w:val="24"/>
          <w:szCs w:val="24"/>
        </w:rPr>
        <w:t xml:space="preserve"> varying</w:t>
      </w:r>
      <w:r w:rsidRPr="003D18D4">
        <w:rPr>
          <w:rFonts w:ascii="Times New Roman" w:hAnsi="Times New Roman" w:cs="Times New Roman"/>
          <w:sz w:val="24"/>
          <w:szCs w:val="24"/>
        </w:rPr>
        <w:t xml:space="preserve"> outcome</w:t>
      </w:r>
      <w:r>
        <w:rPr>
          <w:rFonts w:ascii="Times New Roman" w:hAnsi="Times New Roman" w:cs="Times New Roman"/>
          <w:sz w:val="24"/>
          <w:szCs w:val="24"/>
        </w:rPr>
        <w:t xml:space="preserve">s of </w:t>
      </w:r>
      <w:r w:rsidRPr="003D18D4">
        <w:rPr>
          <w:rFonts w:ascii="Times New Roman" w:hAnsi="Times New Roman" w:cs="Times New Roman"/>
          <w:sz w:val="24"/>
          <w:szCs w:val="24"/>
        </w:rPr>
        <w:t>expected result</w:t>
      </w:r>
      <w:r>
        <w:rPr>
          <w:rFonts w:ascii="Times New Roman" w:hAnsi="Times New Roman" w:cs="Times New Roman"/>
          <w:sz w:val="24"/>
          <w:szCs w:val="24"/>
        </w:rPr>
        <w:t>s. Therefore</w:t>
      </w:r>
      <w:r w:rsidRPr="003D18D4">
        <w:rPr>
          <w:rFonts w:ascii="Times New Roman" w:hAnsi="Times New Roman" w:cs="Times New Roman"/>
          <w:sz w:val="24"/>
          <w:szCs w:val="24"/>
        </w:rPr>
        <w:t xml:space="preserve"> the models in </w:t>
      </w:r>
      <w:r>
        <w:rPr>
          <w:rFonts w:ascii="Times New Roman" w:hAnsi="Times New Roman" w:cs="Times New Roman"/>
          <w:sz w:val="24"/>
          <w:szCs w:val="24"/>
        </w:rPr>
        <w:t>O</w:t>
      </w:r>
      <w:r w:rsidRPr="003D18D4">
        <w:rPr>
          <w:rFonts w:ascii="Times New Roman" w:hAnsi="Times New Roman" w:cs="Times New Roman"/>
          <w:sz w:val="24"/>
          <w:szCs w:val="24"/>
        </w:rPr>
        <w:t>bjective</w:t>
      </w:r>
      <w:r>
        <w:rPr>
          <w:rFonts w:ascii="Times New Roman" w:hAnsi="Times New Roman" w:cs="Times New Roman"/>
          <w:sz w:val="24"/>
          <w:szCs w:val="24"/>
        </w:rPr>
        <w:t xml:space="preserve"> 3 </w:t>
      </w:r>
      <w:r w:rsidRPr="003D18D4">
        <w:rPr>
          <w:rFonts w:ascii="Times New Roman" w:hAnsi="Times New Roman" w:cs="Times New Roman"/>
          <w:sz w:val="24"/>
          <w:szCs w:val="24"/>
        </w:rPr>
        <w:t>tend to link</w:t>
      </w:r>
      <w:r>
        <w:rPr>
          <w:rFonts w:ascii="Times New Roman" w:hAnsi="Times New Roman" w:cs="Times New Roman"/>
          <w:sz w:val="24"/>
          <w:szCs w:val="24"/>
        </w:rPr>
        <w:t xml:space="preserve"> cash, financial ratio and risk factors together</w:t>
      </w:r>
      <w:r w:rsidRPr="003D18D4">
        <w:rPr>
          <w:rFonts w:ascii="Times New Roman" w:hAnsi="Times New Roman" w:cs="Times New Roman"/>
          <w:sz w:val="24"/>
          <w:szCs w:val="24"/>
        </w:rPr>
        <w:t xml:space="preserve"> as </w:t>
      </w:r>
      <w:r>
        <w:rPr>
          <w:rFonts w:ascii="Times New Roman" w:hAnsi="Times New Roman" w:cs="Times New Roman"/>
          <w:sz w:val="24"/>
          <w:szCs w:val="24"/>
        </w:rPr>
        <w:t>they</w:t>
      </w:r>
      <w:r w:rsidRPr="003D18D4">
        <w:rPr>
          <w:rFonts w:ascii="Times New Roman" w:hAnsi="Times New Roman" w:cs="Times New Roman"/>
          <w:sz w:val="24"/>
          <w:szCs w:val="24"/>
        </w:rPr>
        <w:t xml:space="preserve"> are all related in determin</w:t>
      </w:r>
      <w:r>
        <w:rPr>
          <w:rFonts w:ascii="Times New Roman" w:hAnsi="Times New Roman" w:cs="Times New Roman"/>
          <w:sz w:val="24"/>
          <w:szCs w:val="24"/>
        </w:rPr>
        <w:t xml:space="preserve">ing </w:t>
      </w:r>
      <w:r w:rsidRPr="003D18D4">
        <w:rPr>
          <w:rFonts w:ascii="Times New Roman" w:hAnsi="Times New Roman" w:cs="Times New Roman"/>
          <w:sz w:val="24"/>
          <w:szCs w:val="24"/>
        </w:rPr>
        <w:t>firm</w:t>
      </w:r>
      <w:r>
        <w:rPr>
          <w:rFonts w:ascii="Times New Roman" w:hAnsi="Times New Roman" w:cs="Times New Roman"/>
          <w:sz w:val="24"/>
          <w:szCs w:val="24"/>
        </w:rPr>
        <w:t>’s</w:t>
      </w:r>
      <w:r w:rsidRPr="003D18D4">
        <w:rPr>
          <w:rFonts w:ascii="Times New Roman" w:hAnsi="Times New Roman" w:cs="Times New Roman"/>
          <w:sz w:val="24"/>
          <w:szCs w:val="24"/>
        </w:rPr>
        <w:t xml:space="preserve"> performance and efficiency. </w:t>
      </w:r>
    </w:p>
    <w:p w:rsidR="004116D4" w:rsidRPr="003D18D4" w:rsidRDefault="004116D4" w:rsidP="00050A1E">
      <w:pPr>
        <w:tabs>
          <w:tab w:val="left" w:pos="810"/>
        </w:tabs>
        <w:spacing w:line="48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Pr="003D18D4">
        <w:rPr>
          <w:rFonts w:ascii="Times New Roman" w:eastAsia="Times New Roman" w:hAnsi="Times New Roman" w:cs="Times New Roman"/>
          <w:bCs/>
          <w:color w:val="000000"/>
          <w:sz w:val="24"/>
          <w:szCs w:val="24"/>
        </w:rPr>
        <w:t>anel re</w:t>
      </w:r>
      <w:r>
        <w:rPr>
          <w:rFonts w:ascii="Times New Roman" w:eastAsia="Times New Roman" w:hAnsi="Times New Roman" w:cs="Times New Roman"/>
          <w:bCs/>
          <w:color w:val="000000"/>
          <w:sz w:val="24"/>
          <w:szCs w:val="24"/>
        </w:rPr>
        <w:t>gression is separated into two models</w:t>
      </w:r>
      <w:r w:rsidRPr="003D18D4">
        <w:rPr>
          <w:rFonts w:ascii="Times New Roman" w:eastAsia="Times New Roman" w:hAnsi="Times New Roman" w:cs="Times New Roman"/>
          <w:bCs/>
          <w:color w:val="000000"/>
          <w:sz w:val="24"/>
          <w:szCs w:val="24"/>
        </w:rPr>
        <w:t xml:space="preserve"> </w:t>
      </w:r>
      <w:r w:rsidRPr="003D18D4">
        <w:rPr>
          <w:rFonts w:ascii="Times New Roman" w:hAnsi="Times New Roman" w:cs="Times New Roman"/>
          <w:sz w:val="24"/>
          <w:szCs w:val="24"/>
        </w:rPr>
        <w:t>which indicate the effect</w:t>
      </w:r>
      <w:r>
        <w:rPr>
          <w:rFonts w:ascii="Times New Roman" w:hAnsi="Times New Roman" w:cs="Times New Roman"/>
          <w:sz w:val="24"/>
          <w:szCs w:val="24"/>
        </w:rPr>
        <w:t>s</w:t>
      </w:r>
      <w:r w:rsidRPr="003D18D4">
        <w:rPr>
          <w:rFonts w:ascii="Times New Roman" w:hAnsi="Times New Roman" w:cs="Times New Roman"/>
          <w:sz w:val="24"/>
          <w:szCs w:val="24"/>
        </w:rPr>
        <w:t xml:space="preserve"> of</w:t>
      </w:r>
      <w:r>
        <w:rPr>
          <w:rFonts w:ascii="Times New Roman" w:hAnsi="Times New Roman" w:cs="Times New Roman"/>
          <w:sz w:val="24"/>
          <w:szCs w:val="24"/>
        </w:rPr>
        <w:t xml:space="preserve"> financial ratio and</w:t>
      </w:r>
      <w:r w:rsidRPr="003D18D4">
        <w:rPr>
          <w:rFonts w:ascii="Times New Roman" w:hAnsi="Times New Roman" w:cs="Times New Roman"/>
          <w:sz w:val="24"/>
          <w:szCs w:val="24"/>
        </w:rPr>
        <w:t xml:space="preserve"> </w:t>
      </w:r>
      <w:r>
        <w:rPr>
          <w:rFonts w:ascii="Times New Roman" w:hAnsi="Times New Roman" w:cs="Times New Roman"/>
          <w:sz w:val="24"/>
          <w:szCs w:val="24"/>
        </w:rPr>
        <w:t>risk factors</w:t>
      </w:r>
      <w:r w:rsidRPr="003D18D4">
        <w:rPr>
          <w:rFonts w:ascii="Times New Roman" w:hAnsi="Times New Roman" w:cs="Times New Roman"/>
          <w:sz w:val="24"/>
          <w:szCs w:val="24"/>
        </w:rPr>
        <w:t xml:space="preserve"> </w:t>
      </w:r>
      <w:r>
        <w:rPr>
          <w:rFonts w:ascii="Times New Roman" w:hAnsi="Times New Roman" w:cs="Times New Roman"/>
          <w:sz w:val="24"/>
          <w:szCs w:val="24"/>
        </w:rPr>
        <w:t xml:space="preserve">on cash holdings </w:t>
      </w:r>
      <w:r w:rsidRPr="003D18D4">
        <w:rPr>
          <w:rFonts w:ascii="Times New Roman" w:hAnsi="Times New Roman" w:cs="Times New Roman"/>
          <w:sz w:val="24"/>
          <w:szCs w:val="24"/>
        </w:rPr>
        <w:t xml:space="preserve">over the fiscal year. The equation in </w:t>
      </w:r>
      <w:r>
        <w:rPr>
          <w:rFonts w:ascii="Times New Roman" w:hAnsi="Times New Roman" w:cs="Times New Roman"/>
          <w:sz w:val="24"/>
          <w:szCs w:val="24"/>
        </w:rPr>
        <w:t>M</w:t>
      </w:r>
      <w:r w:rsidRPr="003D18D4">
        <w:rPr>
          <w:rFonts w:ascii="Times New Roman" w:hAnsi="Times New Roman" w:cs="Times New Roman"/>
          <w:sz w:val="24"/>
          <w:szCs w:val="24"/>
        </w:rPr>
        <w:t xml:space="preserve">odel </w:t>
      </w:r>
      <w:r>
        <w:rPr>
          <w:rFonts w:ascii="Times New Roman" w:hAnsi="Times New Roman" w:cs="Times New Roman"/>
          <w:sz w:val="24"/>
          <w:szCs w:val="24"/>
        </w:rPr>
        <w:t>3.</w:t>
      </w:r>
      <w:r w:rsidRPr="003D18D4">
        <w:rPr>
          <w:rFonts w:ascii="Times New Roman" w:hAnsi="Times New Roman" w:cs="Times New Roman"/>
          <w:sz w:val="24"/>
          <w:szCs w:val="24"/>
        </w:rPr>
        <w:t xml:space="preserve">1 </w:t>
      </w:r>
      <w:proofErr w:type="gramStart"/>
      <w:r>
        <w:rPr>
          <w:rFonts w:ascii="Times New Roman" w:hAnsi="Times New Roman" w:cs="Times New Roman"/>
          <w:sz w:val="24"/>
          <w:szCs w:val="24"/>
        </w:rPr>
        <w:t>regresses</w:t>
      </w:r>
      <w:proofErr w:type="gramEnd"/>
      <w:r w:rsidRPr="003D18D4">
        <w:rPr>
          <w:rFonts w:ascii="Times New Roman" w:hAnsi="Times New Roman" w:cs="Times New Roman"/>
          <w:sz w:val="24"/>
          <w:szCs w:val="24"/>
        </w:rPr>
        <w:t xml:space="preserve"> </w:t>
      </w:r>
      <w:r>
        <w:rPr>
          <w:rFonts w:ascii="Times New Roman" w:hAnsi="Times New Roman" w:cs="Times New Roman"/>
          <w:sz w:val="24"/>
          <w:szCs w:val="24"/>
        </w:rPr>
        <w:t>cash holdings on internal factors, including liquidity factor (LF), repayment ability factor (RAF) and solvency factor (SF)</w:t>
      </w:r>
      <w:r w:rsidRPr="003D18D4">
        <w:rPr>
          <w:rFonts w:ascii="Times New Roman" w:hAnsi="Times New Roman" w:cs="Times New Roman"/>
          <w:sz w:val="24"/>
          <w:szCs w:val="24"/>
        </w:rPr>
        <w:t xml:space="preserve">. The macroeconomic </w:t>
      </w:r>
      <w:r>
        <w:rPr>
          <w:rFonts w:ascii="Times New Roman" w:hAnsi="Times New Roman" w:cs="Times New Roman"/>
          <w:sz w:val="24"/>
          <w:szCs w:val="24"/>
        </w:rPr>
        <w:t>risk factors such as inflation risk (</w:t>
      </w:r>
      <w:proofErr w:type="spellStart"/>
      <w:r>
        <w:rPr>
          <w:rFonts w:ascii="Times New Roman" w:hAnsi="Times New Roman" w:cs="Times New Roman"/>
          <w:sz w:val="24"/>
          <w:szCs w:val="24"/>
        </w:rPr>
        <w:t>InfR</w:t>
      </w:r>
      <w:proofErr w:type="spellEnd"/>
      <w:r>
        <w:rPr>
          <w:rFonts w:ascii="Times New Roman" w:hAnsi="Times New Roman" w:cs="Times New Roman"/>
          <w:sz w:val="24"/>
          <w:szCs w:val="24"/>
        </w:rPr>
        <w:t>) and currency risk (CR)</w:t>
      </w:r>
      <w:r w:rsidRPr="003D18D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3D18D4">
        <w:rPr>
          <w:rFonts w:ascii="Times New Roman" w:hAnsi="Times New Roman" w:cs="Times New Roman"/>
          <w:sz w:val="24"/>
          <w:szCs w:val="24"/>
        </w:rPr>
        <w:t>add</w:t>
      </w:r>
      <w:r>
        <w:rPr>
          <w:rFonts w:ascii="Times New Roman" w:hAnsi="Times New Roman" w:cs="Times New Roman"/>
          <w:sz w:val="24"/>
          <w:szCs w:val="24"/>
        </w:rPr>
        <w:t>ed</w:t>
      </w:r>
      <w:r w:rsidRPr="003D18D4">
        <w:rPr>
          <w:rFonts w:ascii="Times New Roman" w:hAnsi="Times New Roman" w:cs="Times New Roman"/>
          <w:sz w:val="24"/>
          <w:szCs w:val="24"/>
        </w:rPr>
        <w:t xml:space="preserve"> in</w:t>
      </w:r>
      <w:r>
        <w:rPr>
          <w:rFonts w:ascii="Times New Roman" w:hAnsi="Times New Roman" w:cs="Times New Roman"/>
          <w:sz w:val="24"/>
          <w:szCs w:val="24"/>
        </w:rPr>
        <w:t>to M</w:t>
      </w:r>
      <w:r w:rsidRPr="003D18D4">
        <w:rPr>
          <w:rFonts w:ascii="Times New Roman" w:hAnsi="Times New Roman" w:cs="Times New Roman"/>
          <w:sz w:val="24"/>
          <w:szCs w:val="24"/>
        </w:rPr>
        <w:t xml:space="preserve">odel </w:t>
      </w:r>
      <w:r>
        <w:rPr>
          <w:rFonts w:ascii="Times New Roman" w:hAnsi="Times New Roman" w:cs="Times New Roman"/>
          <w:sz w:val="24"/>
          <w:szCs w:val="24"/>
        </w:rPr>
        <w:t>3.</w:t>
      </w:r>
      <w:r w:rsidRPr="003D18D4">
        <w:rPr>
          <w:rFonts w:ascii="Times New Roman" w:hAnsi="Times New Roman" w:cs="Times New Roman"/>
          <w:sz w:val="24"/>
          <w:szCs w:val="24"/>
        </w:rPr>
        <w:t>2</w:t>
      </w:r>
      <w:r>
        <w:rPr>
          <w:rFonts w:ascii="Times New Roman" w:hAnsi="Times New Roman" w:cs="Times New Roman"/>
          <w:sz w:val="24"/>
          <w:szCs w:val="24"/>
        </w:rPr>
        <w:t xml:space="preserve">. </w:t>
      </w:r>
      <w:r w:rsidRPr="003D18D4">
        <w:rPr>
          <w:rFonts w:ascii="Times New Roman" w:eastAsia="Times New Roman" w:hAnsi="Times New Roman" w:cs="Times New Roman"/>
          <w:bCs/>
          <w:color w:val="000000"/>
          <w:sz w:val="24"/>
          <w:szCs w:val="24"/>
        </w:rPr>
        <w:t xml:space="preserve">The function of </w:t>
      </w:r>
      <w:r>
        <w:rPr>
          <w:rFonts w:ascii="Times New Roman" w:eastAsia="Times New Roman" w:hAnsi="Times New Roman" w:cs="Times New Roman"/>
          <w:bCs/>
          <w:color w:val="000000"/>
          <w:sz w:val="24"/>
          <w:szCs w:val="24"/>
        </w:rPr>
        <w:t>cash holdings</w:t>
      </w:r>
      <w:r w:rsidRPr="003D18D4">
        <w:rPr>
          <w:rFonts w:ascii="Times New Roman" w:eastAsia="Times New Roman" w:hAnsi="Times New Roman" w:cs="Times New Roman"/>
          <w:bCs/>
          <w:color w:val="000000"/>
          <w:sz w:val="24"/>
          <w:szCs w:val="24"/>
        </w:rPr>
        <w:t xml:space="preserve"> and control variables can be written in simple general forms as</w:t>
      </w:r>
      <w:r>
        <w:rPr>
          <w:rFonts w:ascii="Times New Roman" w:eastAsia="Times New Roman" w:hAnsi="Times New Roman" w:cs="Times New Roman"/>
          <w:bCs/>
          <w:color w:val="000000"/>
          <w:sz w:val="24"/>
          <w:szCs w:val="24"/>
        </w:rPr>
        <w:t xml:space="preserve"> follows</w:t>
      </w:r>
      <w:r w:rsidRPr="003D18D4">
        <w:rPr>
          <w:rFonts w:ascii="Times New Roman" w:eastAsia="Times New Roman" w:hAnsi="Times New Roman" w:cs="Times New Roman"/>
          <w:bCs/>
          <w:color w:val="000000"/>
          <w:sz w:val="24"/>
          <w:szCs w:val="24"/>
        </w:rPr>
        <w:t>:</w:t>
      </w:r>
    </w:p>
    <w:p w:rsidR="004116D4" w:rsidRPr="003D18D4" w:rsidRDefault="004116D4" w:rsidP="00EF351B">
      <w:pPr>
        <w:tabs>
          <w:tab w:val="left" w:pos="810"/>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Cash ratio</w:t>
      </w:r>
      <w:r w:rsidRPr="003D18D4">
        <w:rPr>
          <w:rFonts w:ascii="Times New Roman" w:eastAsia="Times New Roman" w:hAnsi="Times New Roman" w:cs="Times New Roman"/>
          <w:bCs/>
          <w:color w:val="000000"/>
          <w:sz w:val="24"/>
          <w:szCs w:val="24"/>
        </w:rPr>
        <w:t xml:space="preserve"> = f (</w:t>
      </w:r>
      <w:r>
        <w:rPr>
          <w:rFonts w:ascii="Times New Roman" w:eastAsia="Times New Roman" w:hAnsi="Times New Roman" w:cs="Times New Roman"/>
          <w:bCs/>
          <w:color w:val="000000"/>
          <w:sz w:val="24"/>
          <w:szCs w:val="24"/>
        </w:rPr>
        <w:t>LF, RAF, SF</w:t>
      </w:r>
      <w:r w:rsidRPr="003D18D4">
        <w:rPr>
          <w:rFonts w:ascii="Times New Roman" w:eastAsia="Times New Roman" w:hAnsi="Times New Roman" w:cs="Times New Roman"/>
          <w:bCs/>
          <w:color w:val="000000"/>
          <w:sz w:val="24"/>
          <w:szCs w:val="24"/>
        </w:rPr>
        <w:t xml:space="preserve">) </w:t>
      </w:r>
      <w:r w:rsidRPr="003D18D4">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3D18D4">
        <w:rPr>
          <w:rFonts w:ascii="Times New Roman" w:eastAsia="Times New Roman" w:hAnsi="Times New Roman" w:cs="Times New Roman"/>
          <w:bCs/>
          <w:color w:val="000000"/>
          <w:sz w:val="24"/>
          <w:szCs w:val="24"/>
        </w:rPr>
        <w:t xml:space="preserve">(Model </w:t>
      </w:r>
      <w:r>
        <w:rPr>
          <w:rFonts w:ascii="Times New Roman" w:eastAsia="Times New Roman" w:hAnsi="Times New Roman" w:cs="Times New Roman"/>
          <w:bCs/>
          <w:color w:val="000000"/>
          <w:sz w:val="24"/>
          <w:szCs w:val="24"/>
        </w:rPr>
        <w:t>3.</w:t>
      </w:r>
      <w:r w:rsidRPr="003D18D4">
        <w:rPr>
          <w:rFonts w:ascii="Times New Roman" w:eastAsia="Times New Roman" w:hAnsi="Times New Roman" w:cs="Times New Roman"/>
          <w:bCs/>
          <w:color w:val="000000"/>
          <w:sz w:val="24"/>
          <w:szCs w:val="24"/>
        </w:rPr>
        <w:t>1)</w:t>
      </w:r>
    </w:p>
    <w:p w:rsidR="004116D4" w:rsidRDefault="004116D4" w:rsidP="00EF351B">
      <w:pPr>
        <w:tabs>
          <w:tab w:val="left" w:pos="810"/>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Cash ratio</w:t>
      </w:r>
      <w:r w:rsidRPr="003D18D4">
        <w:rPr>
          <w:rFonts w:ascii="Times New Roman" w:eastAsia="Times New Roman" w:hAnsi="Times New Roman" w:cs="Times New Roman"/>
          <w:bCs/>
          <w:color w:val="000000"/>
          <w:sz w:val="24"/>
          <w:szCs w:val="24"/>
        </w:rPr>
        <w:t xml:space="preserve"> = f (</w:t>
      </w:r>
      <w:r>
        <w:rPr>
          <w:rFonts w:ascii="Times New Roman" w:eastAsia="Times New Roman" w:hAnsi="Times New Roman" w:cs="Times New Roman"/>
          <w:bCs/>
          <w:color w:val="000000"/>
          <w:sz w:val="24"/>
          <w:szCs w:val="24"/>
        </w:rPr>
        <w:t xml:space="preserve">LF, RAF, SF, </w:t>
      </w:r>
      <w:proofErr w:type="spellStart"/>
      <w:r>
        <w:rPr>
          <w:rFonts w:ascii="Times New Roman" w:eastAsia="Times New Roman" w:hAnsi="Times New Roman" w:cs="Times New Roman"/>
          <w:bCs/>
          <w:color w:val="000000"/>
          <w:sz w:val="24"/>
          <w:szCs w:val="24"/>
        </w:rPr>
        <w:t>InfR</w:t>
      </w:r>
      <w:proofErr w:type="spellEnd"/>
      <w:r>
        <w:rPr>
          <w:rFonts w:ascii="Times New Roman" w:eastAsia="Times New Roman" w:hAnsi="Times New Roman" w:cs="Times New Roman"/>
          <w:bCs/>
          <w:color w:val="000000"/>
          <w:sz w:val="24"/>
          <w:szCs w:val="24"/>
        </w:rPr>
        <w:t>, CR</w:t>
      </w:r>
      <w:r w:rsidRPr="003D18D4">
        <w:rPr>
          <w:rFonts w:ascii="Times New Roman" w:eastAsia="Times New Roman" w:hAnsi="Times New Roman" w:cs="Times New Roman"/>
          <w:bCs/>
          <w:color w:val="000000"/>
          <w:sz w:val="24"/>
          <w:szCs w:val="24"/>
        </w:rPr>
        <w:t>)</w:t>
      </w:r>
      <w:r w:rsidRPr="003D18D4">
        <w:rPr>
          <w:rFonts w:ascii="Times New Roman" w:eastAsia="Times New Roman" w:hAnsi="Times New Roman" w:cs="Times New Roman"/>
          <w:bCs/>
          <w:color w:val="000000"/>
          <w:sz w:val="24"/>
          <w:szCs w:val="24"/>
        </w:rPr>
        <w:tab/>
      </w:r>
      <w:r w:rsidRPr="003D18D4">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3D18D4">
        <w:rPr>
          <w:rFonts w:ascii="Times New Roman" w:eastAsia="Times New Roman" w:hAnsi="Times New Roman" w:cs="Times New Roman"/>
          <w:bCs/>
          <w:color w:val="000000"/>
          <w:sz w:val="24"/>
          <w:szCs w:val="24"/>
        </w:rPr>
        <w:t xml:space="preserve">(Model </w:t>
      </w:r>
      <w:r>
        <w:rPr>
          <w:rFonts w:ascii="Times New Roman" w:eastAsia="Times New Roman" w:hAnsi="Times New Roman" w:cs="Times New Roman"/>
          <w:bCs/>
          <w:color w:val="000000"/>
          <w:sz w:val="24"/>
          <w:szCs w:val="24"/>
        </w:rPr>
        <w:t>3.</w:t>
      </w:r>
      <w:r w:rsidRPr="003D18D4">
        <w:rPr>
          <w:rFonts w:ascii="Times New Roman" w:eastAsia="Times New Roman" w:hAnsi="Times New Roman" w:cs="Times New Roman"/>
          <w:bCs/>
          <w:color w:val="000000"/>
          <w:sz w:val="24"/>
          <w:szCs w:val="24"/>
        </w:rPr>
        <w:t>2)</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The justification and expected signs of each financial ratios and risk factor are clarified here. </w:t>
      </w:r>
      <w:r w:rsidRPr="003D18D4">
        <w:rPr>
          <w:rFonts w:ascii="Times New Roman" w:hAnsi="Times New Roman" w:cs="Times New Roman"/>
          <w:sz w:val="24"/>
          <w:szCs w:val="24"/>
        </w:rPr>
        <w:t xml:space="preserve">The use of the GMM estimator by Arellano &amp; Bond </w:t>
      </w:r>
      <w:r>
        <w:rPr>
          <w:rFonts w:ascii="Times New Roman" w:hAnsi="Times New Roman" w:cs="Times New Roman"/>
          <w:sz w:val="24"/>
          <w:szCs w:val="24"/>
        </w:rPr>
        <w:t>(</w:t>
      </w:r>
      <w:r w:rsidRPr="003D18D4">
        <w:rPr>
          <w:rFonts w:ascii="Times New Roman" w:hAnsi="Times New Roman" w:cs="Times New Roman"/>
          <w:sz w:val="24"/>
          <w:szCs w:val="24"/>
        </w:rPr>
        <w:t>1991) is practica</w:t>
      </w:r>
      <w:r>
        <w:rPr>
          <w:rFonts w:ascii="Times New Roman" w:hAnsi="Times New Roman" w:cs="Times New Roman"/>
          <w:sz w:val="24"/>
          <w:szCs w:val="24"/>
        </w:rPr>
        <w:t xml:space="preserve">l, </w:t>
      </w:r>
      <w:r w:rsidRPr="003D18D4">
        <w:rPr>
          <w:rFonts w:ascii="Times New Roman" w:hAnsi="Times New Roman" w:cs="Times New Roman"/>
          <w:sz w:val="24"/>
          <w:szCs w:val="24"/>
        </w:rPr>
        <w:t>and</w:t>
      </w:r>
      <w:r>
        <w:rPr>
          <w:rFonts w:ascii="Times New Roman" w:hAnsi="Times New Roman" w:cs="Times New Roman"/>
          <w:sz w:val="24"/>
          <w:szCs w:val="24"/>
        </w:rPr>
        <w:t xml:space="preserve"> a</w:t>
      </w:r>
      <w:r w:rsidRPr="003D18D4">
        <w:rPr>
          <w:rFonts w:ascii="Times New Roman" w:hAnsi="Times New Roman" w:cs="Times New Roman"/>
          <w:sz w:val="24"/>
          <w:szCs w:val="24"/>
        </w:rPr>
        <w:t xml:space="preserve"> general method used in solving the dilemma relate</w:t>
      </w:r>
      <w:r>
        <w:rPr>
          <w:rFonts w:ascii="Times New Roman" w:hAnsi="Times New Roman" w:cs="Times New Roman"/>
          <w:sz w:val="24"/>
          <w:szCs w:val="24"/>
        </w:rPr>
        <w:t>d to the</w:t>
      </w:r>
      <w:r w:rsidRPr="003D18D4">
        <w:rPr>
          <w:rFonts w:ascii="Times New Roman" w:hAnsi="Times New Roman" w:cs="Times New Roman"/>
          <w:sz w:val="24"/>
          <w:szCs w:val="24"/>
        </w:rPr>
        <w:t xml:space="preserve"> dynamic panel data model</w:t>
      </w:r>
      <w:r>
        <w:rPr>
          <w:rFonts w:ascii="Times New Roman" w:hAnsi="Times New Roman" w:cs="Times New Roman"/>
          <w:sz w:val="24"/>
          <w:szCs w:val="24"/>
        </w:rPr>
        <w:t xml:space="preserve">, where there exist some </w:t>
      </w:r>
      <w:r w:rsidRPr="003D18D4">
        <w:rPr>
          <w:rFonts w:ascii="Times New Roman" w:hAnsi="Times New Roman" w:cs="Times New Roman"/>
          <w:sz w:val="24"/>
          <w:szCs w:val="24"/>
        </w:rPr>
        <w:t>precise estimation problems due to the presence of lagged dependent variable</w:t>
      </w:r>
      <w:r>
        <w:rPr>
          <w:rFonts w:ascii="Times New Roman" w:hAnsi="Times New Roman" w:cs="Times New Roman"/>
          <w:sz w:val="24"/>
          <w:szCs w:val="24"/>
        </w:rPr>
        <w:t>s</w:t>
      </w:r>
      <w:r w:rsidRPr="003D18D4">
        <w:rPr>
          <w:rFonts w:ascii="Times New Roman" w:hAnsi="Times New Roman" w:cs="Times New Roman"/>
          <w:sz w:val="24"/>
          <w:szCs w:val="24"/>
        </w:rPr>
        <w:t xml:space="preserve"> on</w:t>
      </w:r>
      <w:r>
        <w:rPr>
          <w:rFonts w:ascii="Times New Roman" w:hAnsi="Times New Roman" w:cs="Times New Roman"/>
          <w:sz w:val="24"/>
          <w:szCs w:val="24"/>
        </w:rPr>
        <w:t xml:space="preserve"> the</w:t>
      </w:r>
      <w:r w:rsidRPr="003D18D4">
        <w:rPr>
          <w:rFonts w:ascii="Times New Roman" w:hAnsi="Times New Roman" w:cs="Times New Roman"/>
          <w:sz w:val="24"/>
          <w:szCs w:val="24"/>
        </w:rPr>
        <w:t xml:space="preserve"> right </w:t>
      </w:r>
      <w:r w:rsidRPr="003D18D4">
        <w:rPr>
          <w:rFonts w:ascii="Times New Roman" w:hAnsi="Times New Roman" w:cs="Times New Roman"/>
          <w:sz w:val="24"/>
          <w:szCs w:val="24"/>
        </w:rPr>
        <w:lastRenderedPageBreak/>
        <w:t>hand side of the equation</w:t>
      </w:r>
      <w:r>
        <w:rPr>
          <w:rFonts w:ascii="Times New Roman" w:hAnsi="Times New Roman" w:cs="Times New Roman"/>
          <w:sz w:val="24"/>
          <w:szCs w:val="24"/>
        </w:rPr>
        <w:t>;</w:t>
      </w:r>
      <w:r w:rsidRPr="003D18D4">
        <w:rPr>
          <w:rFonts w:ascii="Times New Roman" w:hAnsi="Times New Roman" w:cs="Times New Roman"/>
          <w:sz w:val="24"/>
          <w:szCs w:val="24"/>
        </w:rPr>
        <w:t xml:space="preserve"> this problem</w:t>
      </w:r>
      <w:r>
        <w:rPr>
          <w:rFonts w:ascii="Times New Roman" w:hAnsi="Times New Roman" w:cs="Times New Roman"/>
          <w:sz w:val="24"/>
          <w:szCs w:val="24"/>
        </w:rPr>
        <w:t xml:space="preserve"> has a </w:t>
      </w:r>
      <w:r w:rsidRPr="003D18D4">
        <w:rPr>
          <w:rFonts w:ascii="Times New Roman" w:hAnsi="Times New Roman" w:cs="Times New Roman"/>
          <w:sz w:val="24"/>
          <w:szCs w:val="24"/>
        </w:rPr>
        <w:t>high probability</w:t>
      </w:r>
      <w:r>
        <w:rPr>
          <w:rFonts w:ascii="Times New Roman" w:hAnsi="Times New Roman" w:cs="Times New Roman"/>
          <w:sz w:val="24"/>
          <w:szCs w:val="24"/>
        </w:rPr>
        <w:t xml:space="preserve"> of </w:t>
      </w:r>
      <w:r w:rsidRPr="003D18D4">
        <w:rPr>
          <w:rFonts w:ascii="Times New Roman" w:hAnsi="Times New Roman" w:cs="Times New Roman"/>
          <w:sz w:val="24"/>
          <w:szCs w:val="24"/>
        </w:rPr>
        <w:t>occur</w:t>
      </w:r>
      <w:r>
        <w:rPr>
          <w:rFonts w:ascii="Times New Roman" w:hAnsi="Times New Roman" w:cs="Times New Roman"/>
          <w:sz w:val="24"/>
          <w:szCs w:val="24"/>
        </w:rPr>
        <w:t xml:space="preserve">ring when </w:t>
      </w:r>
      <w:r w:rsidRPr="003D18D4">
        <w:rPr>
          <w:rFonts w:ascii="Times New Roman" w:hAnsi="Times New Roman" w:cs="Times New Roman"/>
          <w:sz w:val="24"/>
          <w:szCs w:val="24"/>
        </w:rPr>
        <w:t>examining the objectives of this study. The potential problems might lead to an upward bias of the estimates of the OLS regression analysis</w:t>
      </w:r>
      <w:r>
        <w:rPr>
          <w:rFonts w:ascii="Times New Roman" w:hAnsi="Times New Roman" w:cs="Times New Roman"/>
          <w:sz w:val="24"/>
          <w:szCs w:val="24"/>
        </w:rPr>
        <w:t>,</w:t>
      </w:r>
      <w:r w:rsidRPr="003D18D4">
        <w:rPr>
          <w:rFonts w:ascii="Times New Roman" w:hAnsi="Times New Roman" w:cs="Times New Roman"/>
          <w:sz w:val="24"/>
          <w:szCs w:val="24"/>
        </w:rPr>
        <w:t xml:space="preserve"> where the error term by definition is corrected with one</w:t>
      </w:r>
      <w:r>
        <w:rPr>
          <w:rFonts w:ascii="Times New Roman" w:hAnsi="Times New Roman" w:cs="Times New Roman"/>
          <w:sz w:val="24"/>
          <w:szCs w:val="24"/>
        </w:rPr>
        <w:t xml:space="preserve"> of</w:t>
      </w:r>
      <w:r w:rsidRPr="003D18D4">
        <w:rPr>
          <w:rFonts w:ascii="Times New Roman" w:hAnsi="Times New Roman" w:cs="Times New Roman"/>
          <w:sz w:val="24"/>
          <w:szCs w:val="24"/>
        </w:rPr>
        <w:t xml:space="preserve"> the </w:t>
      </w:r>
      <w:proofErr w:type="spellStart"/>
      <w:r w:rsidRPr="003D18D4">
        <w:rPr>
          <w:rFonts w:ascii="Times New Roman" w:hAnsi="Times New Roman" w:cs="Times New Roman"/>
          <w:sz w:val="24"/>
          <w:szCs w:val="24"/>
        </w:rPr>
        <w:t>regressor</w:t>
      </w:r>
      <w:r>
        <w:rPr>
          <w:rFonts w:ascii="Times New Roman" w:hAnsi="Times New Roman" w:cs="Times New Roman"/>
          <w:sz w:val="24"/>
          <w:szCs w:val="24"/>
        </w:rPr>
        <w:t>s</w:t>
      </w:r>
      <w:proofErr w:type="spellEnd"/>
      <w:r>
        <w:rPr>
          <w:rFonts w:ascii="Times New Roman" w:hAnsi="Times New Roman" w:cs="Times New Roman"/>
          <w:sz w:val="24"/>
          <w:szCs w:val="24"/>
        </w:rPr>
        <w:t xml:space="preserve"> (Bond, 2002).</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sidRPr="003D18D4">
        <w:rPr>
          <w:rFonts w:ascii="Times New Roman" w:hAnsi="Times New Roman" w:cs="Times New Roman"/>
          <w:sz w:val="24"/>
          <w:szCs w:val="24"/>
        </w:rPr>
        <w:t xml:space="preserve">The method </w:t>
      </w:r>
      <w:r>
        <w:rPr>
          <w:rFonts w:ascii="Times New Roman" w:hAnsi="Times New Roman" w:cs="Times New Roman"/>
          <w:sz w:val="24"/>
          <w:szCs w:val="24"/>
        </w:rPr>
        <w:t>for measuring</w:t>
      </w:r>
      <w:r w:rsidRPr="003D18D4">
        <w:rPr>
          <w:rFonts w:ascii="Times New Roman" w:hAnsi="Times New Roman" w:cs="Times New Roman"/>
          <w:sz w:val="24"/>
          <w:szCs w:val="24"/>
        </w:rPr>
        <w:t xml:space="preserve"> instrumental variable</w:t>
      </w:r>
      <w:r>
        <w:rPr>
          <w:rFonts w:ascii="Times New Roman" w:hAnsi="Times New Roman" w:cs="Times New Roman"/>
          <w:sz w:val="24"/>
          <w:szCs w:val="24"/>
        </w:rPr>
        <w:t>s</w:t>
      </w:r>
      <w:r w:rsidRPr="003D18D4">
        <w:rPr>
          <w:rFonts w:ascii="Times New Roman" w:hAnsi="Times New Roman" w:cs="Times New Roman"/>
          <w:sz w:val="24"/>
          <w:szCs w:val="24"/>
        </w:rPr>
        <w:t xml:space="preserve"> is appropriate</w:t>
      </w:r>
      <w:r>
        <w:rPr>
          <w:rFonts w:ascii="Times New Roman" w:hAnsi="Times New Roman" w:cs="Times New Roman"/>
          <w:sz w:val="24"/>
          <w:szCs w:val="24"/>
        </w:rPr>
        <w:t xml:space="preserve"> in dealing with </w:t>
      </w:r>
      <w:r w:rsidRPr="003D18D4">
        <w:rPr>
          <w:rFonts w:ascii="Times New Roman" w:hAnsi="Times New Roman" w:cs="Times New Roman"/>
          <w:sz w:val="24"/>
          <w:szCs w:val="24"/>
        </w:rPr>
        <w:t>the bias problem</w:t>
      </w:r>
      <w:r>
        <w:rPr>
          <w:rFonts w:ascii="Times New Roman" w:hAnsi="Times New Roman" w:cs="Times New Roman"/>
          <w:sz w:val="24"/>
          <w:szCs w:val="24"/>
        </w:rPr>
        <w:t xml:space="preserve"> as it excludes certain </w:t>
      </w:r>
      <w:r w:rsidRPr="003D18D4">
        <w:rPr>
          <w:rFonts w:ascii="Times New Roman" w:hAnsi="Times New Roman" w:cs="Times New Roman"/>
          <w:sz w:val="24"/>
          <w:szCs w:val="24"/>
        </w:rPr>
        <w:t>related individual effect</w:t>
      </w:r>
      <w:r>
        <w:rPr>
          <w:rFonts w:ascii="Times New Roman" w:hAnsi="Times New Roman" w:cs="Times New Roman"/>
          <w:sz w:val="24"/>
          <w:szCs w:val="24"/>
        </w:rPr>
        <w:t>s</w:t>
      </w:r>
      <w:r w:rsidRPr="003D18D4">
        <w:rPr>
          <w:rFonts w:ascii="Times New Roman" w:hAnsi="Times New Roman" w:cs="Times New Roman"/>
          <w:sz w:val="24"/>
          <w:szCs w:val="24"/>
        </w:rPr>
        <w:t xml:space="preserve"> and </w:t>
      </w:r>
      <w:r>
        <w:rPr>
          <w:rFonts w:ascii="Times New Roman" w:hAnsi="Times New Roman" w:cs="Times New Roman"/>
          <w:sz w:val="24"/>
          <w:szCs w:val="24"/>
        </w:rPr>
        <w:t xml:space="preserve">allows </w:t>
      </w:r>
      <w:r w:rsidRPr="003D18D4">
        <w:rPr>
          <w:rFonts w:ascii="Times New Roman" w:hAnsi="Times New Roman" w:cs="Times New Roman"/>
          <w:sz w:val="24"/>
          <w:szCs w:val="24"/>
        </w:rPr>
        <w:t xml:space="preserve">control for </w:t>
      </w:r>
      <w:proofErr w:type="spellStart"/>
      <w:r w:rsidRPr="003D18D4">
        <w:rPr>
          <w:rFonts w:ascii="Times New Roman" w:hAnsi="Times New Roman" w:cs="Times New Roman"/>
          <w:sz w:val="24"/>
          <w:szCs w:val="24"/>
        </w:rPr>
        <w:t>endogeneity</w:t>
      </w:r>
      <w:proofErr w:type="spellEnd"/>
      <w:r w:rsidRPr="003D18D4">
        <w:rPr>
          <w:rFonts w:ascii="Times New Roman" w:hAnsi="Times New Roman" w:cs="Times New Roman"/>
          <w:sz w:val="24"/>
          <w:szCs w:val="24"/>
        </w:rPr>
        <w:t xml:space="preserve">. Besides, </w:t>
      </w:r>
      <w:r>
        <w:rPr>
          <w:rFonts w:ascii="Times New Roman" w:hAnsi="Times New Roman" w:cs="Times New Roman"/>
          <w:sz w:val="24"/>
          <w:szCs w:val="24"/>
        </w:rPr>
        <w:t xml:space="preserve">the </w:t>
      </w:r>
      <w:r w:rsidRPr="003D18D4">
        <w:rPr>
          <w:rFonts w:ascii="Times New Roman" w:hAnsi="Times New Roman" w:cs="Times New Roman"/>
          <w:sz w:val="24"/>
          <w:szCs w:val="24"/>
        </w:rPr>
        <w:t>GMM estimator does not necessitate any particular distributions of the error term, even esti</w:t>
      </w:r>
      <w:r>
        <w:rPr>
          <w:rFonts w:ascii="Times New Roman" w:hAnsi="Times New Roman" w:cs="Times New Roman"/>
          <w:sz w:val="24"/>
          <w:szCs w:val="24"/>
        </w:rPr>
        <w:t>mating the unknown parameters.</w:t>
      </w:r>
    </w:p>
    <w:p w:rsidR="004116D4" w:rsidRPr="005A3CC2" w:rsidRDefault="00625A84" w:rsidP="004116D4">
      <w:pPr>
        <w:tabs>
          <w:tab w:val="left" w:pos="810"/>
        </w:tabs>
        <w:spacing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ab/>
      </w:r>
      <w:r w:rsidR="004116D4">
        <w:rPr>
          <w:rFonts w:ascii="Times New Roman" w:hAnsi="Times New Roman" w:cs="Times New Roman"/>
          <w:sz w:val="24"/>
          <w:szCs w:val="24"/>
        </w:rPr>
        <w:t xml:space="preserve">The </w:t>
      </w:r>
      <w:r w:rsidR="004116D4" w:rsidRPr="003D18D4">
        <w:rPr>
          <w:rFonts w:ascii="Times New Roman" w:hAnsi="Times New Roman" w:cs="Times New Roman"/>
          <w:sz w:val="24"/>
          <w:szCs w:val="24"/>
        </w:rPr>
        <w:t xml:space="preserve">GMM model </w:t>
      </w:r>
      <w:r w:rsidR="004116D4">
        <w:rPr>
          <w:rFonts w:ascii="Times New Roman" w:hAnsi="Times New Roman" w:cs="Times New Roman"/>
          <w:sz w:val="24"/>
          <w:szCs w:val="24"/>
        </w:rPr>
        <w:t xml:space="preserve">is given </w:t>
      </w:r>
      <w:r w:rsidR="004116D4" w:rsidRPr="003D18D4">
        <w:rPr>
          <w:rFonts w:ascii="Times New Roman" w:hAnsi="Times New Roman" w:cs="Times New Roman"/>
          <w:sz w:val="24"/>
          <w:szCs w:val="24"/>
        </w:rPr>
        <w:t>as below:</w:t>
      </w:r>
    </w:p>
    <w:p w:rsidR="004116D4" w:rsidRPr="003D18D4" w:rsidRDefault="004116D4" w:rsidP="004116D4">
      <w:pPr>
        <w:tabs>
          <w:tab w:val="left" w:pos="810"/>
        </w:tabs>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Y</m:t>
        </m:r>
        <m:r>
          <w:rPr>
            <w:rFonts w:ascii="Cambria Math" w:hAnsi="Cambria Math" w:cs="Times New Roman"/>
            <w:i/>
            <w:sz w:val="24"/>
            <w:szCs w:val="24"/>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12" o:title=""/>
            </v:shape>
            <o:OLEObject Type="Embed" ProgID="Equation.3" ShapeID="_x0000_i1025" DrawAspect="Content" ObjectID="_1507636096" r:id="rId13"/>
          </w:object>
        </m:r>
      </m:oMath>
      <w:r w:rsidRPr="003D18D4">
        <w:rPr>
          <w:rFonts w:ascii="Times New Roman" w:hAnsi="Times New Roman" w:cs="Times New Roman"/>
          <w:sz w:val="24"/>
          <w:szCs w:val="24"/>
        </w:rPr>
        <w:t xml:space="preserve">= </w:t>
      </w:r>
      <m:oMath>
        <m:r>
          <w:rPr>
            <w:rFonts w:ascii="Cambria Math" w:hAnsi="Cambria Math" w:cs="Times New Roman"/>
            <w:sz w:val="24"/>
            <w:szCs w:val="24"/>
          </w:rPr>
          <m:t>ρY</m:t>
        </m:r>
        <m:r>
          <w:rPr>
            <w:rFonts w:ascii="Cambria Math" w:hAnsi="Cambria Math" w:cs="Times New Roman"/>
            <w:i/>
            <w:sz w:val="24"/>
            <w:szCs w:val="24"/>
          </w:rPr>
          <w:object w:dxaOrig="340" w:dyaOrig="380">
            <v:shape id="_x0000_i1026" type="#_x0000_t75" style="width:17.25pt;height:18.75pt" o:ole="">
              <v:imagedata r:id="rId14" o:title=""/>
            </v:shape>
            <o:OLEObject Type="Embed" ProgID="Equation.3" ShapeID="_x0000_i1026" DrawAspect="Content" ObjectID="_1507636097" r:id="rId15"/>
          </w:object>
        </m:r>
      </m:oMath>
      <w:r w:rsidRPr="003D18D4">
        <w:rPr>
          <w:rFonts w:ascii="Times New Roman" w:hAnsi="Times New Roman" w:cs="Times New Roman"/>
          <w:sz w:val="24"/>
          <w:szCs w:val="24"/>
        </w:rPr>
        <w:t>+</w:t>
      </w:r>
      <m:oMath>
        <m:r>
          <w:rPr>
            <w:rFonts w:ascii="Cambria Math" w:hAnsi="Cambria Math" w:cs="Times New Roman"/>
            <w:sz w:val="24"/>
            <w:szCs w:val="24"/>
          </w:rPr>
          <m:t>X'</m:t>
        </m:r>
        <m:r>
          <w:rPr>
            <w:rFonts w:ascii="Cambria Math" w:hAnsi="Cambria Math" w:cs="Times New Roman"/>
            <w:i/>
            <w:sz w:val="24"/>
            <w:szCs w:val="24"/>
          </w:rPr>
          <w:object w:dxaOrig="160" w:dyaOrig="360">
            <v:shape id="_x0000_i1027" type="#_x0000_t75" style="width:9.75pt;height:18.75pt" o:ole="">
              <v:imagedata r:id="rId16" o:title=""/>
            </v:shape>
            <o:OLEObject Type="Embed" ProgID="Equation.3" ShapeID="_x0000_i1027" DrawAspect="Content" ObjectID="_1507636098" r:id="rId17"/>
          </w:object>
        </m:r>
        <m:r>
          <w:rPr>
            <w:rFonts w:ascii="Cambria Math" w:hAnsi="Cambria Math" w:cs="Times New Roman"/>
            <w:sz w:val="24"/>
            <w:szCs w:val="24"/>
          </w:rPr>
          <m:t>β</m:t>
        </m:r>
      </m:oMath>
      <w:r w:rsidRPr="003D18D4">
        <w:rPr>
          <w:rFonts w:ascii="Times New Roman" w:hAnsi="Times New Roman" w:cs="Times New Roman"/>
          <w:sz w:val="24"/>
          <w:szCs w:val="24"/>
        </w:rPr>
        <w:t>+</w:t>
      </w:r>
      <m:oMath>
        <m:r>
          <w:rPr>
            <w:rFonts w:ascii="Cambria Math" w:hAnsi="Cambria Math" w:cs="Times New Roman"/>
            <w:sz w:val="24"/>
            <w:szCs w:val="24"/>
          </w:rPr>
          <m:t>α</m:t>
        </m:r>
        <m:r>
          <w:rPr>
            <w:rFonts w:ascii="Cambria Math" w:hAnsi="Cambria Math" w:cs="Times New Roman"/>
            <w:i/>
            <w:sz w:val="24"/>
            <w:szCs w:val="24"/>
          </w:rPr>
          <w:object w:dxaOrig="120" w:dyaOrig="360">
            <v:shape id="_x0000_i1028" type="#_x0000_t75" style="width:6pt;height:18.75pt" o:ole="">
              <v:imagedata r:id="rId18" o:title=""/>
            </v:shape>
            <o:OLEObject Type="Embed" ProgID="Equation.3" ShapeID="_x0000_i1028" DrawAspect="Content" ObjectID="_1507636099" r:id="rId19"/>
          </w:object>
        </m:r>
      </m:oMath>
      <w:r w:rsidRPr="003D18D4">
        <w:rPr>
          <w:rFonts w:ascii="Times New Roman" w:hAnsi="Times New Roman" w:cs="Times New Roman"/>
          <w:sz w:val="24"/>
          <w:szCs w:val="24"/>
        </w:rPr>
        <w:t>+</w:t>
      </w:r>
      <m:oMath>
        <m:r>
          <w:rPr>
            <w:rFonts w:ascii="Cambria Math" w:hAnsi="Cambria Math" w:cs="Times New Roman"/>
            <w:sz w:val="24"/>
            <w:szCs w:val="24"/>
          </w:rPr>
          <m:t xml:space="preserve"> ε</m:t>
        </m:r>
        <m:r>
          <w:rPr>
            <w:rFonts w:ascii="Cambria Math" w:hAnsi="Cambria Math" w:cs="Times New Roman"/>
            <w:i/>
            <w:sz w:val="24"/>
            <w:szCs w:val="24"/>
          </w:rPr>
          <w:object w:dxaOrig="160" w:dyaOrig="360">
            <v:shape id="_x0000_i1029" type="#_x0000_t75" style="width:9.75pt;height:18.75pt" o:ole="">
              <v:imagedata r:id="rId20" o:title=""/>
            </v:shape>
            <o:OLEObject Type="Embed" ProgID="Equation.3" ShapeID="_x0000_i1029" DrawAspect="Content" ObjectID="_1507636100" r:id="rId21"/>
          </w:object>
        </m:r>
      </m:oMath>
      <w:r w:rsidRPr="003D18D4">
        <w:rPr>
          <w:rFonts w:ascii="Times New Roman" w:hAnsi="Times New Roman" w:cs="Times New Roman"/>
          <w:sz w:val="24"/>
          <w:szCs w:val="24"/>
        </w:rPr>
        <w:t>……………………………………………..</w:t>
      </w:r>
      <w:r w:rsidRPr="003D18D4">
        <w:rPr>
          <w:rFonts w:ascii="Times New Roman" w:hAnsi="Times New Roman" w:cs="Times New Roman"/>
          <w:sz w:val="24"/>
          <w:szCs w:val="24"/>
        </w:rPr>
        <w:tab/>
        <w:t>(1)</w:t>
      </w:r>
    </w:p>
    <w:p w:rsidR="004116D4" w:rsidRPr="003D18D4" w:rsidRDefault="004116D4" w:rsidP="004116D4">
      <w:pPr>
        <w:tabs>
          <w:tab w:val="left" w:pos="810"/>
        </w:tabs>
        <w:autoSpaceDE w:val="0"/>
        <w:autoSpaceDN w:val="0"/>
        <w:adjustRightInd w:val="0"/>
        <w:spacing w:after="0" w:line="240" w:lineRule="auto"/>
        <w:jc w:val="both"/>
        <w:rPr>
          <w:rFonts w:ascii="Times New Roman" w:hAnsi="Times New Roman" w:cs="Times New Roman"/>
          <w:sz w:val="24"/>
          <w:szCs w:val="24"/>
        </w:rPr>
      </w:pPr>
    </w:p>
    <w:p w:rsidR="004116D4" w:rsidRDefault="004116D4" w:rsidP="004116D4">
      <w:pPr>
        <w:tabs>
          <w:tab w:val="left" w:pos="81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3D18D4">
        <w:rPr>
          <w:rFonts w:ascii="Times New Roman" w:hAnsi="Times New Roman" w:cs="Times New Roman"/>
          <w:sz w:val="24"/>
          <w:szCs w:val="24"/>
        </w:rPr>
        <w:t>here</w:t>
      </w:r>
      <w:proofErr w:type="gramEnd"/>
      <w:r>
        <w:rPr>
          <w:rFonts w:ascii="Times New Roman" w:hAnsi="Times New Roman" w:cs="Times New Roman"/>
          <w:sz w:val="24"/>
          <w:szCs w:val="24"/>
        </w:rPr>
        <w:t>,</w:t>
      </w:r>
    </w:p>
    <w:p w:rsidR="004116D4" w:rsidRPr="003D18D4" w:rsidRDefault="004116D4" w:rsidP="004116D4">
      <w:pPr>
        <w:tabs>
          <w:tab w:val="left" w:pos="810"/>
        </w:tabs>
        <w:autoSpaceDE w:val="0"/>
        <w:autoSpaceDN w:val="0"/>
        <w:adjustRightInd w:val="0"/>
        <w:spacing w:after="0" w:line="480" w:lineRule="auto"/>
        <w:jc w:val="both"/>
        <w:rPr>
          <w:rFonts w:ascii="Times New Roman" w:hAnsi="Times New Roman" w:cs="Times New Roman"/>
          <w:sz w:val="24"/>
          <w:szCs w:val="24"/>
        </w:rPr>
      </w:pPr>
    </w:p>
    <w:p w:rsidR="004116D4" w:rsidRPr="003D18D4" w:rsidRDefault="004116D4" w:rsidP="004116D4">
      <w:pPr>
        <w:tabs>
          <w:tab w:val="left" w:pos="810"/>
        </w:tabs>
        <w:autoSpaceDE w:val="0"/>
        <w:autoSpaceDN w:val="0"/>
        <w:adjustRightInd w:val="0"/>
        <w:spacing w:after="0" w:line="240" w:lineRule="auto"/>
        <w:jc w:val="both"/>
        <w:rPr>
          <w:rFonts w:ascii="Times New Roman" w:hAnsi="Times New Roman" w:cs="Times New Roman"/>
          <w:sz w:val="24"/>
          <w:szCs w:val="24"/>
        </w:rPr>
      </w:pPr>
      <w:r w:rsidRPr="003D18D4">
        <w:rPr>
          <w:rFonts w:ascii="Times New Roman" w:hAnsi="Times New Roman" w:cs="Times New Roman"/>
          <w:sz w:val="24"/>
          <w:szCs w:val="24"/>
        </w:rPr>
        <w:t xml:space="preserve">(i). </w:t>
      </w:r>
      <m:oMath>
        <m:r>
          <w:rPr>
            <w:rFonts w:ascii="Cambria Math" w:hAnsi="Cambria Math" w:cs="Times New Roman"/>
            <w:sz w:val="24"/>
            <w:szCs w:val="24"/>
          </w:rPr>
          <m:t>Y</m:t>
        </m:r>
        <m:r>
          <w:rPr>
            <w:rFonts w:ascii="Cambria Math" w:hAnsi="Cambria Math" w:cs="Times New Roman"/>
            <w:i/>
            <w:sz w:val="24"/>
            <w:szCs w:val="24"/>
          </w:rPr>
          <w:object w:dxaOrig="160" w:dyaOrig="360">
            <v:shape id="_x0000_i1030" type="#_x0000_t75" style="width:9.75pt;height:18.75pt" o:ole="">
              <v:imagedata r:id="rId22" o:title=""/>
            </v:shape>
            <o:OLEObject Type="Embed" ProgID="Equation.3" ShapeID="_x0000_i1030" DrawAspect="Content" ObjectID="_1507636101" r:id="rId23"/>
          </w:object>
        </m:r>
      </m:oMath>
      <w:r w:rsidRPr="003D18D4">
        <w:rPr>
          <w:rFonts w:ascii="Times New Roman" w:hAnsi="Times New Roman" w:cs="Times New Roman"/>
          <w:sz w:val="24"/>
          <w:szCs w:val="24"/>
        </w:rPr>
        <w:t xml:space="preserve"> is the dependent variable given at </w:t>
      </w:r>
      <w:r w:rsidRPr="003D18D4">
        <w:rPr>
          <w:rFonts w:ascii="Times New Roman" w:hAnsi="Times New Roman" w:cs="Times New Roman"/>
          <w:i/>
          <w:sz w:val="24"/>
          <w:szCs w:val="24"/>
        </w:rPr>
        <w:t>N</w:t>
      </w:r>
      <w:r>
        <w:rPr>
          <w:rFonts w:ascii="Times New Roman" w:hAnsi="Times New Roman" w:cs="Times New Roman"/>
          <w:sz w:val="24"/>
          <w:szCs w:val="24"/>
        </w:rPr>
        <w:t xml:space="preserve"> cross-</w:t>
      </w:r>
      <w:r w:rsidRPr="003D18D4">
        <w:rPr>
          <w:rFonts w:ascii="Times New Roman" w:hAnsi="Times New Roman" w:cs="Times New Roman"/>
          <w:sz w:val="24"/>
          <w:szCs w:val="24"/>
        </w:rPr>
        <w:t xml:space="preserve">sectional observations and </w:t>
      </w:r>
      <w:r w:rsidRPr="003D18D4">
        <w:rPr>
          <w:rFonts w:ascii="Times New Roman" w:hAnsi="Times New Roman" w:cs="Times New Roman"/>
          <w:i/>
          <w:sz w:val="24"/>
          <w:szCs w:val="24"/>
        </w:rPr>
        <w:t>T</w:t>
      </w:r>
      <w:r>
        <w:rPr>
          <w:rFonts w:ascii="Times New Roman" w:hAnsi="Times New Roman" w:cs="Times New Roman"/>
          <w:sz w:val="24"/>
          <w:szCs w:val="24"/>
        </w:rPr>
        <w:t xml:space="preserve"> time series observation</w:t>
      </w:r>
    </w:p>
    <w:p w:rsidR="004116D4" w:rsidRPr="003D18D4" w:rsidRDefault="004116D4" w:rsidP="004116D4">
      <w:pPr>
        <w:tabs>
          <w:tab w:val="left" w:pos="810"/>
        </w:tabs>
        <w:autoSpaceDE w:val="0"/>
        <w:autoSpaceDN w:val="0"/>
        <w:adjustRightInd w:val="0"/>
        <w:spacing w:after="0" w:line="240" w:lineRule="auto"/>
        <w:jc w:val="both"/>
        <w:rPr>
          <w:rFonts w:ascii="Times New Roman" w:hAnsi="Times New Roman" w:cs="Times New Roman"/>
          <w:sz w:val="24"/>
          <w:szCs w:val="24"/>
        </w:rPr>
      </w:pPr>
    </w:p>
    <w:p w:rsidR="004116D4" w:rsidRDefault="004116D4" w:rsidP="004116D4">
      <w:pPr>
        <w:tabs>
          <w:tab w:val="left" w:pos="810"/>
        </w:tabs>
        <w:autoSpaceDE w:val="0"/>
        <w:autoSpaceDN w:val="0"/>
        <w:adjustRightInd w:val="0"/>
        <w:spacing w:after="0" w:line="240" w:lineRule="auto"/>
        <w:jc w:val="both"/>
        <w:rPr>
          <w:rFonts w:ascii="Times New Roman" w:hAnsi="Times New Roman" w:cs="Times New Roman"/>
          <w:sz w:val="24"/>
          <w:szCs w:val="24"/>
        </w:rPr>
      </w:pPr>
      <w:r w:rsidRPr="003D18D4">
        <w:rPr>
          <w:rFonts w:ascii="Times New Roman" w:hAnsi="Times New Roman" w:cs="Times New Roman"/>
          <w:sz w:val="24"/>
          <w:szCs w:val="24"/>
        </w:rPr>
        <w:t xml:space="preserve">(ii). </w:t>
      </w:r>
      <m:oMath>
        <m:r>
          <w:rPr>
            <w:rFonts w:ascii="Cambria Math" w:hAnsi="Cambria Math" w:cs="Times New Roman"/>
            <w:sz w:val="24"/>
            <w:szCs w:val="24"/>
          </w:rPr>
          <m:t>α</m:t>
        </m:r>
      </m:oMath>
      <w:r>
        <w:rPr>
          <w:rFonts w:ascii="Times New Roman" w:hAnsi="Times New Roman" w:cs="Times New Roman"/>
          <w:sz w:val="24"/>
          <w:szCs w:val="24"/>
        </w:rPr>
        <w:t xml:space="preserve"> is the intercept or constant</w:t>
      </w:r>
    </w:p>
    <w:p w:rsidR="004116D4" w:rsidRPr="003D18D4" w:rsidRDefault="004116D4" w:rsidP="004116D4">
      <w:pPr>
        <w:tabs>
          <w:tab w:val="left" w:pos="810"/>
        </w:tabs>
        <w:autoSpaceDE w:val="0"/>
        <w:autoSpaceDN w:val="0"/>
        <w:adjustRightInd w:val="0"/>
        <w:spacing w:after="0" w:line="480" w:lineRule="auto"/>
        <w:jc w:val="both"/>
        <w:rPr>
          <w:rFonts w:ascii="Times New Roman" w:hAnsi="Times New Roman" w:cs="Times New Roman"/>
          <w:sz w:val="24"/>
          <w:szCs w:val="24"/>
        </w:rPr>
      </w:pPr>
    </w:p>
    <w:p w:rsidR="004116D4" w:rsidRPr="003D18D4" w:rsidRDefault="004116D4" w:rsidP="00EF351B">
      <w:pPr>
        <w:tabs>
          <w:tab w:val="left" w:pos="810"/>
        </w:tabs>
        <w:autoSpaceDE w:val="0"/>
        <w:autoSpaceDN w:val="0"/>
        <w:adjustRightInd w:val="0"/>
        <w:spacing w:line="480" w:lineRule="auto"/>
        <w:ind w:firstLine="720"/>
        <w:jc w:val="both"/>
        <w:rPr>
          <w:rFonts w:ascii="Times New Roman" w:hAnsi="Times New Roman" w:cs="Times New Roman"/>
          <w:sz w:val="24"/>
          <w:szCs w:val="24"/>
        </w:rPr>
      </w:pPr>
      <w:r w:rsidRPr="003D18D4">
        <w:rPr>
          <w:rFonts w:ascii="Times New Roman" w:hAnsi="Times New Roman" w:cs="Times New Roman"/>
          <w:sz w:val="24"/>
          <w:szCs w:val="24"/>
        </w:rPr>
        <w:t>Additionally, the parameter</w:t>
      </w:r>
      <w:r>
        <w:rPr>
          <w:rFonts w:ascii="Times New Roman" w:hAnsi="Times New Roman" w:cs="Times New Roman"/>
          <w:sz w:val="24"/>
          <w:szCs w:val="24"/>
        </w:rPr>
        <w:t xml:space="preserve"> estimates on restricted conditions are based </w:t>
      </w:r>
      <w:r w:rsidRPr="003D18D4">
        <w:rPr>
          <w:rFonts w:ascii="Times New Roman" w:hAnsi="Times New Roman" w:cs="Times New Roman"/>
          <w:sz w:val="24"/>
          <w:szCs w:val="24"/>
        </w:rPr>
        <w:t xml:space="preserve">on the assumption that the coefficients of all lagged variables in the regression are not different from zero. According to this assumption, the lagged exogenous variables will become </w:t>
      </w:r>
      <w:r>
        <w:rPr>
          <w:rFonts w:ascii="Times New Roman" w:hAnsi="Times New Roman" w:cs="Times New Roman"/>
          <w:sz w:val="24"/>
          <w:szCs w:val="24"/>
        </w:rPr>
        <w:t>meaningless</w:t>
      </w:r>
      <w:r w:rsidRPr="003D18D4">
        <w:rPr>
          <w:rFonts w:ascii="Times New Roman" w:hAnsi="Times New Roman" w:cs="Times New Roman"/>
          <w:sz w:val="24"/>
          <w:szCs w:val="24"/>
        </w:rPr>
        <w:t xml:space="preserve"> on current adjustment</w:t>
      </w:r>
      <w:r>
        <w:rPr>
          <w:rFonts w:ascii="Times New Roman" w:hAnsi="Times New Roman" w:cs="Times New Roman"/>
          <w:sz w:val="24"/>
          <w:szCs w:val="24"/>
        </w:rPr>
        <w:t>s</w:t>
      </w:r>
      <w:r w:rsidRPr="003D18D4">
        <w:rPr>
          <w:rFonts w:ascii="Times New Roman" w:hAnsi="Times New Roman" w:cs="Times New Roman"/>
          <w:sz w:val="24"/>
          <w:szCs w:val="24"/>
        </w:rPr>
        <w:t>. This kind of analysis econometrically interprets</w:t>
      </w:r>
      <w:r>
        <w:rPr>
          <w:rFonts w:ascii="Times New Roman" w:hAnsi="Times New Roman" w:cs="Times New Roman"/>
          <w:sz w:val="24"/>
          <w:szCs w:val="24"/>
        </w:rPr>
        <w:t xml:space="preserve"> the </w:t>
      </w:r>
      <w:r w:rsidRPr="003D18D4">
        <w:rPr>
          <w:rFonts w:ascii="Times New Roman" w:hAnsi="Times New Roman" w:cs="Times New Roman"/>
          <w:sz w:val="24"/>
          <w:szCs w:val="24"/>
        </w:rPr>
        <w:t>short</w:t>
      </w:r>
      <w:r>
        <w:rPr>
          <w:rFonts w:ascii="Times New Roman" w:hAnsi="Times New Roman" w:cs="Times New Roman"/>
          <w:sz w:val="24"/>
          <w:szCs w:val="24"/>
        </w:rPr>
        <w:t>-</w:t>
      </w:r>
      <w:r w:rsidRPr="003D18D4">
        <w:rPr>
          <w:rFonts w:ascii="Times New Roman" w:hAnsi="Times New Roman" w:cs="Times New Roman"/>
          <w:sz w:val="24"/>
          <w:szCs w:val="24"/>
        </w:rPr>
        <w:t xml:space="preserve">run determinants of corporate cash holdings. For </w:t>
      </w:r>
      <w:r>
        <w:rPr>
          <w:rFonts w:ascii="Times New Roman" w:hAnsi="Times New Roman" w:cs="Times New Roman"/>
          <w:sz w:val="24"/>
          <w:szCs w:val="24"/>
        </w:rPr>
        <w:t>this</w:t>
      </w:r>
      <w:r w:rsidRPr="003D18D4">
        <w:rPr>
          <w:rFonts w:ascii="Times New Roman" w:hAnsi="Times New Roman" w:cs="Times New Roman"/>
          <w:sz w:val="24"/>
          <w:szCs w:val="24"/>
        </w:rPr>
        <w:t xml:space="preserve"> reason, GMM </w:t>
      </w:r>
      <w:r>
        <w:rPr>
          <w:rFonts w:ascii="Times New Roman" w:hAnsi="Times New Roman" w:cs="Times New Roman"/>
          <w:sz w:val="24"/>
          <w:szCs w:val="24"/>
        </w:rPr>
        <w:t>is</w:t>
      </w:r>
      <w:r w:rsidRPr="003D18D4">
        <w:rPr>
          <w:rFonts w:ascii="Times New Roman" w:hAnsi="Times New Roman" w:cs="Times New Roman"/>
          <w:sz w:val="24"/>
          <w:szCs w:val="24"/>
        </w:rPr>
        <w:t xml:space="preserve"> chosen in this study to furnish the long run </w:t>
      </w:r>
      <w:r>
        <w:rPr>
          <w:rFonts w:ascii="Times New Roman" w:hAnsi="Times New Roman" w:cs="Times New Roman"/>
          <w:sz w:val="24"/>
          <w:szCs w:val="24"/>
        </w:rPr>
        <w:t>factors that impact corporate cash holdings.</w:t>
      </w:r>
    </w:p>
    <w:p w:rsidR="004116D4" w:rsidRDefault="004116D4" w:rsidP="00EF351B">
      <w:pPr>
        <w:pStyle w:val="NoSpacing"/>
        <w:tabs>
          <w:tab w:val="left" w:pos="810"/>
        </w:tabs>
        <w:spacing w:after="200" w:line="480" w:lineRule="auto"/>
        <w:ind w:firstLine="720"/>
        <w:jc w:val="both"/>
        <w:rPr>
          <w:rFonts w:ascii="Times New Roman" w:hAnsi="Times New Roman" w:cs="Times New Roman"/>
          <w:sz w:val="24"/>
          <w:szCs w:val="24"/>
        </w:rPr>
      </w:pPr>
      <w:r w:rsidRPr="003D18D4">
        <w:rPr>
          <w:rFonts w:ascii="Times New Roman" w:hAnsi="Times New Roman" w:cs="Times New Roman"/>
          <w:sz w:val="24"/>
          <w:szCs w:val="24"/>
        </w:rPr>
        <w:lastRenderedPageBreak/>
        <w:t xml:space="preserve">Furthermore, the GMM estimator </w:t>
      </w:r>
      <w:r>
        <w:rPr>
          <w:rFonts w:ascii="Times New Roman" w:hAnsi="Times New Roman" w:cs="Times New Roman"/>
          <w:sz w:val="24"/>
          <w:szCs w:val="24"/>
        </w:rPr>
        <w:t>has its</w:t>
      </w:r>
      <w:r w:rsidRPr="003D18D4">
        <w:rPr>
          <w:rFonts w:ascii="Times New Roman" w:hAnsi="Times New Roman" w:cs="Times New Roman"/>
          <w:sz w:val="24"/>
          <w:szCs w:val="24"/>
        </w:rPr>
        <w:t xml:space="preserve"> advantages because it permits the existence of </w:t>
      </w:r>
      <w:proofErr w:type="spellStart"/>
      <w:r w:rsidRPr="003D18D4">
        <w:rPr>
          <w:rFonts w:ascii="Times New Roman" w:hAnsi="Times New Roman" w:cs="Times New Roman"/>
          <w:sz w:val="24"/>
          <w:szCs w:val="24"/>
        </w:rPr>
        <w:t>heteroscedasticity</w:t>
      </w:r>
      <w:proofErr w:type="spellEnd"/>
      <w:r w:rsidRPr="003D18D4">
        <w:rPr>
          <w:rFonts w:ascii="Times New Roman" w:hAnsi="Times New Roman" w:cs="Times New Roman"/>
          <w:sz w:val="24"/>
          <w:szCs w:val="24"/>
        </w:rPr>
        <w:t xml:space="preserve"> across firms</w:t>
      </w:r>
      <w:r>
        <w:rPr>
          <w:rFonts w:ascii="Times New Roman" w:hAnsi="Times New Roman" w:cs="Times New Roman"/>
          <w:sz w:val="24"/>
          <w:szCs w:val="24"/>
        </w:rPr>
        <w:t>,</w:t>
      </w:r>
      <w:r w:rsidRPr="003D18D4">
        <w:rPr>
          <w:rFonts w:ascii="Times New Roman" w:hAnsi="Times New Roman" w:cs="Times New Roman"/>
          <w:sz w:val="24"/>
          <w:szCs w:val="24"/>
        </w:rPr>
        <w:t xml:space="preserve"> and</w:t>
      </w:r>
      <w:r>
        <w:rPr>
          <w:rFonts w:ascii="Times New Roman" w:hAnsi="Times New Roman" w:cs="Times New Roman"/>
          <w:sz w:val="24"/>
          <w:szCs w:val="24"/>
        </w:rPr>
        <w:t xml:space="preserve"> adjusts</w:t>
      </w:r>
      <w:r w:rsidRPr="003D18D4">
        <w:rPr>
          <w:rFonts w:ascii="Times New Roman" w:hAnsi="Times New Roman" w:cs="Times New Roman"/>
          <w:sz w:val="24"/>
          <w:szCs w:val="24"/>
        </w:rPr>
        <w:t xml:space="preserve"> for possible correlation of the disturbances over time in</w:t>
      </w:r>
      <w:r>
        <w:rPr>
          <w:rFonts w:ascii="Times New Roman" w:hAnsi="Times New Roman" w:cs="Times New Roman"/>
          <w:sz w:val="24"/>
          <w:szCs w:val="24"/>
        </w:rPr>
        <w:t xml:space="preserve"> a</w:t>
      </w:r>
      <w:r w:rsidRPr="003D18D4">
        <w:rPr>
          <w:rFonts w:ascii="Times New Roman" w:hAnsi="Times New Roman" w:cs="Times New Roman"/>
          <w:sz w:val="24"/>
          <w:szCs w:val="24"/>
        </w:rPr>
        <w:t xml:space="preserve"> dynamic framework. Given the assumption </w:t>
      </w:r>
      <w:r>
        <w:rPr>
          <w:rFonts w:ascii="Times New Roman" w:hAnsi="Times New Roman" w:cs="Times New Roman"/>
          <w:sz w:val="24"/>
          <w:szCs w:val="24"/>
        </w:rPr>
        <w:t xml:space="preserve">that </w:t>
      </w:r>
      <w:r w:rsidRPr="003D18D4">
        <w:rPr>
          <w:rFonts w:ascii="Times New Roman" w:hAnsi="Times New Roman" w:cs="Times New Roman"/>
          <w:sz w:val="24"/>
          <w:szCs w:val="24"/>
        </w:rPr>
        <w:t xml:space="preserve">the disturbances are not correlated, </w:t>
      </w:r>
      <w:proofErr w:type="spellStart"/>
      <w:r w:rsidRPr="003D18D4">
        <w:rPr>
          <w:rFonts w:ascii="Times New Roman" w:hAnsi="Times New Roman" w:cs="Times New Roman"/>
          <w:sz w:val="24"/>
          <w:szCs w:val="24"/>
        </w:rPr>
        <w:t>ε</w:t>
      </w:r>
      <w:r w:rsidRPr="003D18D4">
        <w:rPr>
          <w:rFonts w:ascii="Times New Roman" w:hAnsi="Times New Roman" w:cs="Times New Roman"/>
          <w:sz w:val="24"/>
          <w:szCs w:val="24"/>
          <w:vertAlign w:val="superscript"/>
        </w:rPr>
        <w:t>it</w:t>
      </w:r>
      <w:proofErr w:type="spellEnd"/>
      <w:r w:rsidRPr="003D18D4">
        <w:rPr>
          <w:rFonts w:ascii="Times New Roman" w:hAnsi="Times New Roman" w:cs="Times New Roman"/>
          <w:sz w:val="24"/>
          <w:szCs w:val="24"/>
        </w:rPr>
        <w:t xml:space="preserve"> is estimated to be orthogonal to the lagged value</w:t>
      </w:r>
      <w:r>
        <w:rPr>
          <w:rFonts w:ascii="Times New Roman" w:hAnsi="Times New Roman" w:cs="Times New Roman"/>
          <w:sz w:val="24"/>
          <w:szCs w:val="24"/>
        </w:rPr>
        <w:t>s of</w:t>
      </w:r>
      <w:r w:rsidRPr="003D18D4">
        <w:rPr>
          <w:rFonts w:ascii="Times New Roman" w:hAnsi="Times New Roman" w:cs="Times New Roman"/>
          <w:sz w:val="24"/>
          <w:szCs w:val="24"/>
        </w:rPr>
        <w:t xml:space="preserve"> X and Y variables. Yet, one important assumption under</w:t>
      </w:r>
      <w:r>
        <w:rPr>
          <w:rFonts w:ascii="Times New Roman" w:hAnsi="Times New Roman" w:cs="Times New Roman"/>
          <w:sz w:val="24"/>
          <w:szCs w:val="24"/>
        </w:rPr>
        <w:t xml:space="preserve"> the</w:t>
      </w:r>
      <w:r w:rsidRPr="003D18D4">
        <w:rPr>
          <w:rFonts w:ascii="Times New Roman" w:hAnsi="Times New Roman" w:cs="Times New Roman"/>
          <w:sz w:val="24"/>
          <w:szCs w:val="24"/>
        </w:rPr>
        <w:t xml:space="preserve"> GMM estimation contains </w:t>
      </w:r>
      <w:r>
        <w:rPr>
          <w:rFonts w:ascii="Times New Roman" w:hAnsi="Times New Roman" w:cs="Times New Roman"/>
          <w:sz w:val="24"/>
          <w:szCs w:val="24"/>
        </w:rPr>
        <w:t>a</w:t>
      </w:r>
      <w:r w:rsidRPr="003D18D4">
        <w:rPr>
          <w:rFonts w:ascii="Times New Roman" w:hAnsi="Times New Roman" w:cs="Times New Roman"/>
          <w:sz w:val="24"/>
          <w:szCs w:val="24"/>
        </w:rPr>
        <w:t xml:space="preserve"> particular condition</w:t>
      </w:r>
      <w:r>
        <w:rPr>
          <w:rFonts w:ascii="Times New Roman" w:hAnsi="Times New Roman" w:cs="Times New Roman"/>
          <w:sz w:val="24"/>
          <w:szCs w:val="24"/>
        </w:rPr>
        <w:t xml:space="preserve"> that</w:t>
      </w:r>
      <w:r w:rsidRPr="003D18D4">
        <w:rPr>
          <w:rFonts w:ascii="Times New Roman" w:hAnsi="Times New Roman" w:cs="Times New Roman"/>
          <w:sz w:val="24"/>
          <w:szCs w:val="24"/>
        </w:rPr>
        <w:t xml:space="preserve"> must be fulfill</w:t>
      </w:r>
      <w:r>
        <w:rPr>
          <w:rFonts w:ascii="Times New Roman" w:hAnsi="Times New Roman" w:cs="Times New Roman"/>
          <w:sz w:val="24"/>
          <w:szCs w:val="24"/>
        </w:rPr>
        <w:t>ed</w:t>
      </w:r>
      <w:r w:rsidRPr="003D18D4">
        <w:rPr>
          <w:rFonts w:ascii="Times New Roman" w:hAnsi="Times New Roman" w:cs="Times New Roman"/>
          <w:sz w:val="24"/>
          <w:szCs w:val="24"/>
        </w:rPr>
        <w:t xml:space="preserve"> on the instrumental variables to ensure the validity of the components. Under the assumption, the instrumental variable must be uncorrelated with the error term, or </w:t>
      </w:r>
      <w:r>
        <w:rPr>
          <w:rFonts w:ascii="Times New Roman" w:hAnsi="Times New Roman" w:cs="Times New Roman"/>
          <w:sz w:val="24"/>
          <w:szCs w:val="24"/>
        </w:rPr>
        <w:t>it should be</w:t>
      </w:r>
      <w:r w:rsidRPr="003D18D4">
        <w:rPr>
          <w:rFonts w:ascii="Times New Roman" w:hAnsi="Times New Roman" w:cs="Times New Roman"/>
          <w:sz w:val="24"/>
          <w:szCs w:val="24"/>
        </w:rPr>
        <w:t xml:space="preserve"> orthogonally fulfilled in the sample. On the other hand, the instrumental variables must strongly correlate with the </w:t>
      </w:r>
      <w:proofErr w:type="spellStart"/>
      <w:r w:rsidRPr="003D18D4">
        <w:rPr>
          <w:rFonts w:ascii="Times New Roman" w:hAnsi="Times New Roman" w:cs="Times New Roman"/>
          <w:sz w:val="24"/>
          <w:szCs w:val="24"/>
        </w:rPr>
        <w:t>regressors</w:t>
      </w:r>
      <w:proofErr w:type="spellEnd"/>
      <w:r w:rsidRPr="003D18D4">
        <w:rPr>
          <w:rFonts w:ascii="Times New Roman" w:hAnsi="Times New Roman" w:cs="Times New Roman"/>
          <w:sz w:val="24"/>
          <w:szCs w:val="24"/>
        </w:rPr>
        <w:t xml:space="preserve"> of the model.</w:t>
      </w:r>
    </w:p>
    <w:p w:rsidR="004116D4" w:rsidRPr="003D18D4" w:rsidRDefault="00625A84" w:rsidP="00EF351B">
      <w:pPr>
        <w:tabs>
          <w:tab w:val="left" w:pos="81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16D4" w:rsidRPr="003D18D4">
        <w:rPr>
          <w:rFonts w:ascii="Times New Roman" w:hAnsi="Times New Roman" w:cs="Times New Roman"/>
          <w:sz w:val="24"/>
          <w:szCs w:val="24"/>
        </w:rPr>
        <w:t>Therefore, the GMM estimation regress</w:t>
      </w:r>
      <w:r w:rsidR="004116D4">
        <w:rPr>
          <w:rFonts w:ascii="Times New Roman" w:hAnsi="Times New Roman" w:cs="Times New Roman"/>
          <w:sz w:val="24"/>
          <w:szCs w:val="24"/>
        </w:rPr>
        <w:t>ion is</w:t>
      </w:r>
      <w:r w:rsidR="004116D4" w:rsidRPr="003D18D4">
        <w:rPr>
          <w:rFonts w:ascii="Times New Roman" w:hAnsi="Times New Roman" w:cs="Times New Roman"/>
          <w:sz w:val="24"/>
          <w:szCs w:val="24"/>
        </w:rPr>
        <w:t>:</w:t>
      </w:r>
    </w:p>
    <w:p w:rsidR="004116D4" w:rsidRDefault="004116D4" w:rsidP="00050A1E">
      <w:pPr>
        <w:tabs>
          <w:tab w:val="left" w:pos="810"/>
        </w:tabs>
        <w:autoSpaceDE w:val="0"/>
        <w:autoSpaceDN w:val="0"/>
        <w:adjustRightInd w:val="0"/>
        <w:spacing w:line="480" w:lineRule="auto"/>
        <w:jc w:val="both"/>
        <w:rPr>
          <w:rFonts w:ascii="Times New Roman" w:hAnsi="Times New Roman" w:cs="Times New Roman"/>
          <w:sz w:val="24"/>
          <w:szCs w:val="24"/>
        </w:rPr>
      </w:pPr>
      <w:r w:rsidRPr="003D18D4">
        <w:rPr>
          <w:rFonts w:ascii="Times New Roman" w:hAnsi="Times New Roman" w:cs="Times New Roman"/>
          <w:sz w:val="24"/>
          <w:szCs w:val="24"/>
        </w:rPr>
        <w:t>C</w:t>
      </w:r>
      <w:r w:rsidRPr="003D18D4">
        <w:rPr>
          <w:rFonts w:ascii="Times New Roman" w:hAnsi="Times New Roman" w:cs="Times New Roman"/>
          <w:sz w:val="24"/>
          <w:szCs w:val="24"/>
          <w:vertAlign w:val="subscript"/>
        </w:rPr>
        <w:t xml:space="preserve"> </w:t>
      </w:r>
      <w:proofErr w:type="spellStart"/>
      <w:r w:rsidRPr="003D18D4">
        <w:rPr>
          <w:rFonts w:ascii="Times New Roman" w:hAnsi="Times New Roman" w:cs="Times New Roman"/>
          <w:sz w:val="24"/>
          <w:szCs w:val="24"/>
          <w:vertAlign w:val="subscript"/>
        </w:rPr>
        <w:t>i</w:t>
      </w:r>
      <w:proofErr w:type="gramStart"/>
      <w:r w:rsidRPr="003D18D4">
        <w:rPr>
          <w:rFonts w:ascii="Times New Roman" w:hAnsi="Times New Roman" w:cs="Times New Roman"/>
          <w:sz w:val="24"/>
          <w:szCs w:val="24"/>
          <w:vertAlign w:val="subscript"/>
        </w:rPr>
        <w:t>,t</w:t>
      </w:r>
      <w:proofErr w:type="spellEnd"/>
      <w:proofErr w:type="gramEnd"/>
      <w:r w:rsidRPr="003D18D4">
        <w:rPr>
          <w:rFonts w:ascii="Times New Roman" w:hAnsi="Times New Roman" w:cs="Times New Roman"/>
          <w:sz w:val="24"/>
          <w:szCs w:val="24"/>
        </w:rPr>
        <w:t xml:space="preserve"> = β</w:t>
      </w:r>
      <w:r w:rsidRPr="003D18D4">
        <w:rPr>
          <w:rFonts w:ascii="Times New Roman" w:hAnsi="Times New Roman" w:cs="Times New Roman"/>
          <w:sz w:val="24"/>
          <w:szCs w:val="24"/>
          <w:vertAlign w:val="subscript"/>
        </w:rPr>
        <w:t>0</w:t>
      </w:r>
      <w:r w:rsidRPr="003D18D4">
        <w:rPr>
          <w:rFonts w:ascii="Times New Roman" w:hAnsi="Times New Roman" w:cs="Times New Roman"/>
          <w:sz w:val="24"/>
          <w:szCs w:val="24"/>
        </w:rPr>
        <w:t xml:space="preserve"> C</w:t>
      </w:r>
      <w:r w:rsidRPr="003D18D4">
        <w:rPr>
          <w:rFonts w:ascii="Times New Roman" w:hAnsi="Times New Roman" w:cs="Times New Roman"/>
          <w:sz w:val="24"/>
          <w:szCs w:val="24"/>
          <w:vertAlign w:val="subscript"/>
        </w:rPr>
        <w:t xml:space="preserve">i,t-1 </w:t>
      </w:r>
      <w:r w:rsidRPr="003D18D4">
        <w:rPr>
          <w:rFonts w:ascii="Times New Roman" w:hAnsi="Times New Roman" w:cs="Times New Roman"/>
          <w:sz w:val="24"/>
          <w:szCs w:val="24"/>
        </w:rPr>
        <w:t>+ β΄</w:t>
      </w:r>
      <w:proofErr w:type="spellStart"/>
      <w:r w:rsidRPr="003D18D4">
        <w:rPr>
          <w:rFonts w:ascii="Times New Roman" w:hAnsi="Times New Roman" w:cs="Times New Roman"/>
          <w:sz w:val="24"/>
          <w:szCs w:val="24"/>
        </w:rPr>
        <w:t>X</w:t>
      </w:r>
      <w:r w:rsidRPr="003D18D4">
        <w:rPr>
          <w:rFonts w:ascii="Times New Roman" w:hAnsi="Times New Roman" w:cs="Times New Roman"/>
          <w:sz w:val="24"/>
          <w:szCs w:val="24"/>
          <w:vertAlign w:val="subscript"/>
        </w:rPr>
        <w:t>i,t</w:t>
      </w:r>
      <w:proofErr w:type="spellEnd"/>
      <w:r w:rsidRPr="003D18D4">
        <w:rPr>
          <w:rFonts w:ascii="Times New Roman" w:hAnsi="Times New Roman" w:cs="Times New Roman"/>
          <w:sz w:val="24"/>
          <w:szCs w:val="24"/>
          <w:vertAlign w:val="subscript"/>
        </w:rPr>
        <w:t xml:space="preserve"> </w:t>
      </w:r>
      <w:r w:rsidRPr="003D18D4">
        <w:rPr>
          <w:rFonts w:ascii="Times New Roman" w:hAnsi="Times New Roman" w:cs="Times New Roman"/>
          <w:sz w:val="24"/>
          <w:szCs w:val="24"/>
        </w:rPr>
        <w:t xml:space="preserve">+ </w:t>
      </w:r>
      <w:proofErr w:type="spellStart"/>
      <w:r w:rsidRPr="003D18D4">
        <w:rPr>
          <w:rFonts w:ascii="Times New Roman" w:hAnsi="Times New Roman" w:cs="Times New Roman"/>
          <w:sz w:val="24"/>
          <w:szCs w:val="24"/>
        </w:rPr>
        <w:t>ν</w:t>
      </w:r>
      <w:r w:rsidRPr="003D18D4">
        <w:rPr>
          <w:rFonts w:ascii="Times New Roman" w:hAnsi="Times New Roman" w:cs="Times New Roman"/>
          <w:sz w:val="24"/>
          <w:szCs w:val="24"/>
          <w:vertAlign w:val="subscript"/>
        </w:rPr>
        <w:t>i</w:t>
      </w:r>
      <w:proofErr w:type="spellEnd"/>
      <w:r w:rsidRPr="003D18D4">
        <w:rPr>
          <w:rFonts w:ascii="Times New Roman" w:hAnsi="Times New Roman" w:cs="Times New Roman"/>
          <w:sz w:val="24"/>
          <w:szCs w:val="24"/>
          <w:vertAlign w:val="subscript"/>
        </w:rPr>
        <w:t xml:space="preserve"> </w:t>
      </w:r>
      <w:r w:rsidRPr="003D18D4">
        <w:rPr>
          <w:rFonts w:ascii="Times New Roman" w:hAnsi="Times New Roman" w:cs="Times New Roman"/>
          <w:sz w:val="24"/>
          <w:szCs w:val="24"/>
        </w:rPr>
        <w:t xml:space="preserve">+ </w:t>
      </w:r>
      <w:proofErr w:type="spellStart"/>
      <w:r w:rsidRPr="003D18D4">
        <w:rPr>
          <w:rFonts w:ascii="Times New Roman" w:hAnsi="Times New Roman" w:cs="Times New Roman"/>
          <w:sz w:val="24"/>
          <w:szCs w:val="24"/>
        </w:rPr>
        <w:t>ε</w:t>
      </w:r>
      <w:r w:rsidRPr="003D18D4">
        <w:rPr>
          <w:rFonts w:ascii="Times New Roman" w:hAnsi="Times New Roman" w:cs="Times New Roman"/>
          <w:sz w:val="24"/>
          <w:szCs w:val="24"/>
          <w:vertAlign w:val="subscript"/>
        </w:rPr>
        <w:t>i,t</w:t>
      </w:r>
      <w:proofErr w:type="spellEnd"/>
      <w:r>
        <w:rPr>
          <w:rFonts w:ascii="Times New Roman" w:hAnsi="Times New Roman" w:cs="Times New Roman"/>
          <w:sz w:val="24"/>
          <w:szCs w:val="24"/>
        </w:rPr>
        <w:t>………………………………………….</w:t>
      </w:r>
      <w:r>
        <w:rPr>
          <w:rFonts w:ascii="Times New Roman" w:hAnsi="Times New Roman" w:cs="Times New Roman"/>
          <w:sz w:val="24"/>
          <w:szCs w:val="24"/>
        </w:rPr>
        <w:tab/>
        <w:t>(2</w:t>
      </w:r>
      <w:r w:rsidRPr="003D18D4">
        <w:rPr>
          <w:rFonts w:ascii="Times New Roman" w:hAnsi="Times New Roman" w:cs="Times New Roman"/>
          <w:sz w:val="24"/>
          <w:szCs w:val="24"/>
        </w:rPr>
        <w:t>)</w:t>
      </w:r>
    </w:p>
    <w:p w:rsidR="004116D4" w:rsidRPr="003D18D4" w:rsidRDefault="004116D4" w:rsidP="00884770">
      <w:pPr>
        <w:tabs>
          <w:tab w:val="left" w:pos="810"/>
        </w:tabs>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3D18D4">
        <w:rPr>
          <w:rFonts w:ascii="Times New Roman" w:hAnsi="Times New Roman" w:cs="Times New Roman"/>
          <w:sz w:val="24"/>
          <w:szCs w:val="24"/>
        </w:rPr>
        <w:t>here</w:t>
      </w:r>
      <w:proofErr w:type="gramEnd"/>
      <w:r w:rsidRPr="003D18D4">
        <w:rPr>
          <w:rFonts w:ascii="Times New Roman" w:hAnsi="Times New Roman" w:cs="Times New Roman"/>
          <w:sz w:val="24"/>
          <w:szCs w:val="24"/>
        </w:rPr>
        <w:t xml:space="preserve"> i = 1, ..., </w:t>
      </w:r>
      <w:r w:rsidRPr="003D18D4">
        <w:rPr>
          <w:rFonts w:ascii="Times New Roman" w:hAnsi="Times New Roman" w:cs="Times New Roman"/>
          <w:i/>
          <w:sz w:val="24"/>
          <w:szCs w:val="24"/>
        </w:rPr>
        <w:t>N</w:t>
      </w:r>
      <w:r w:rsidRPr="003D18D4">
        <w:rPr>
          <w:rFonts w:ascii="Times New Roman" w:hAnsi="Times New Roman" w:cs="Times New Roman"/>
          <w:sz w:val="24"/>
          <w:szCs w:val="24"/>
        </w:rPr>
        <w:t xml:space="preserve">, and t = 1, ..., </w:t>
      </w:r>
      <w:r w:rsidRPr="003D18D4">
        <w:rPr>
          <w:rFonts w:ascii="Times New Roman" w:hAnsi="Times New Roman" w:cs="Times New Roman"/>
          <w:i/>
          <w:sz w:val="24"/>
          <w:szCs w:val="24"/>
        </w:rPr>
        <w:t>T</w:t>
      </w:r>
      <w:r w:rsidRPr="003D18D4">
        <w:rPr>
          <w:rFonts w:ascii="Times New Roman" w:hAnsi="Times New Roman" w:cs="Times New Roman"/>
          <w:sz w:val="24"/>
          <w:szCs w:val="24"/>
        </w:rPr>
        <w:t>. α and the (</w:t>
      </w:r>
      <w:r w:rsidRPr="003D18D4">
        <w:rPr>
          <w:rFonts w:ascii="Times New Roman" w:hAnsi="Times New Roman" w:cs="Times New Roman"/>
          <w:i/>
          <w:sz w:val="24"/>
          <w:szCs w:val="24"/>
        </w:rPr>
        <w:t>K×1</w:t>
      </w:r>
      <w:r w:rsidRPr="003D18D4">
        <w:rPr>
          <w:rFonts w:ascii="Times New Roman" w:hAnsi="Times New Roman" w:cs="Times New Roman"/>
          <w:sz w:val="24"/>
          <w:szCs w:val="24"/>
        </w:rPr>
        <w:t xml:space="preserve">) vector </w:t>
      </w:r>
      <w:r w:rsidRPr="003D18D4">
        <w:rPr>
          <w:rFonts w:ascii="Times New Roman" w:hAnsi="Times New Roman" w:cs="Times New Roman"/>
          <w:i/>
          <w:sz w:val="24"/>
          <w:szCs w:val="24"/>
        </w:rPr>
        <w:t xml:space="preserve">ß </w:t>
      </w:r>
      <w:r w:rsidRPr="003D18D4">
        <w:rPr>
          <w:rFonts w:ascii="Times New Roman" w:hAnsi="Times New Roman" w:cs="Times New Roman"/>
          <w:sz w:val="24"/>
          <w:szCs w:val="24"/>
        </w:rPr>
        <w:t xml:space="preserve">are K+1 parameters to be examined. </w:t>
      </w:r>
      <w:proofErr w:type="spellStart"/>
      <w:r w:rsidRPr="003D18D4">
        <w:rPr>
          <w:rFonts w:ascii="Times New Roman" w:hAnsi="Times New Roman" w:cs="Times New Roman"/>
          <w:sz w:val="24"/>
          <w:szCs w:val="24"/>
        </w:rPr>
        <w:t>X</w:t>
      </w:r>
      <w:r w:rsidRPr="003D18D4">
        <w:rPr>
          <w:rFonts w:ascii="Times New Roman" w:hAnsi="Times New Roman" w:cs="Times New Roman"/>
          <w:sz w:val="24"/>
          <w:szCs w:val="24"/>
          <w:vertAlign w:val="subscript"/>
        </w:rPr>
        <w:t>i</w:t>
      </w:r>
      <w:proofErr w:type="gramStart"/>
      <w:r w:rsidRPr="003D18D4">
        <w:rPr>
          <w:rFonts w:ascii="Times New Roman" w:hAnsi="Times New Roman" w:cs="Times New Roman"/>
          <w:sz w:val="24"/>
          <w:szCs w:val="24"/>
          <w:vertAlign w:val="subscript"/>
        </w:rPr>
        <w:t>,t</w:t>
      </w:r>
      <w:proofErr w:type="spellEnd"/>
      <w:proofErr w:type="gramEnd"/>
      <w:r w:rsidRPr="003D18D4">
        <w:rPr>
          <w:rFonts w:ascii="Times New Roman" w:hAnsi="Times New Roman" w:cs="Times New Roman"/>
          <w:sz w:val="24"/>
          <w:szCs w:val="24"/>
          <w:vertAlign w:val="subscript"/>
        </w:rPr>
        <w:t xml:space="preserve">  </w:t>
      </w:r>
      <w:r w:rsidRPr="003D18D4">
        <w:rPr>
          <w:rFonts w:ascii="Times New Roman" w:hAnsi="Times New Roman" w:cs="Times New Roman"/>
          <w:sz w:val="24"/>
          <w:szCs w:val="24"/>
        </w:rPr>
        <w:t>is a (</w:t>
      </w:r>
      <w:r w:rsidRPr="003D18D4">
        <w:rPr>
          <w:rFonts w:ascii="Times New Roman" w:hAnsi="Times New Roman" w:cs="Times New Roman"/>
          <w:i/>
          <w:sz w:val="24"/>
          <w:szCs w:val="24"/>
        </w:rPr>
        <w:t>K × 1</w:t>
      </w:r>
      <w:r w:rsidRPr="003D18D4">
        <w:rPr>
          <w:rFonts w:ascii="Times New Roman" w:hAnsi="Times New Roman" w:cs="Times New Roman"/>
          <w:sz w:val="24"/>
          <w:szCs w:val="24"/>
        </w:rPr>
        <w:t>) vector of strictly exogenous variables, which</w:t>
      </w:r>
      <w:r>
        <w:rPr>
          <w:rFonts w:ascii="Times New Roman" w:hAnsi="Times New Roman" w:cs="Times New Roman"/>
          <w:sz w:val="24"/>
          <w:szCs w:val="24"/>
        </w:rPr>
        <w:t xml:space="preserve"> is</w:t>
      </w:r>
      <w:r w:rsidRPr="003D18D4">
        <w:rPr>
          <w:rFonts w:ascii="Times New Roman" w:hAnsi="Times New Roman" w:cs="Times New Roman"/>
          <w:sz w:val="24"/>
          <w:szCs w:val="24"/>
        </w:rPr>
        <w:t xml:space="preserve"> justified in the next section. </w:t>
      </w:r>
      <w:proofErr w:type="spellStart"/>
      <w:proofErr w:type="gramStart"/>
      <w:r w:rsidRPr="003D18D4">
        <w:rPr>
          <w:rFonts w:ascii="Times New Roman" w:hAnsi="Times New Roman" w:cs="Times New Roman"/>
          <w:sz w:val="24"/>
          <w:szCs w:val="24"/>
        </w:rPr>
        <w:t>ν</w:t>
      </w:r>
      <w:r w:rsidRPr="003D18D4">
        <w:rPr>
          <w:rFonts w:ascii="Times New Roman" w:hAnsi="Times New Roman" w:cs="Times New Roman"/>
          <w:sz w:val="24"/>
          <w:szCs w:val="24"/>
          <w:vertAlign w:val="subscript"/>
        </w:rPr>
        <w:t>i</w:t>
      </w:r>
      <w:proofErr w:type="spellEnd"/>
      <w:proofErr w:type="gramEnd"/>
      <w:r w:rsidRPr="003D18D4">
        <w:rPr>
          <w:rFonts w:ascii="Times New Roman" w:hAnsi="Times New Roman" w:cs="Times New Roman"/>
          <w:sz w:val="24"/>
          <w:szCs w:val="24"/>
        </w:rPr>
        <w:t xml:space="preserve"> are the random effects that are independent and identically distributed (</w:t>
      </w:r>
      <w:proofErr w:type="spellStart"/>
      <w:r w:rsidRPr="003D18D4">
        <w:rPr>
          <w:rFonts w:ascii="Times New Roman" w:hAnsi="Times New Roman" w:cs="Times New Roman"/>
          <w:sz w:val="24"/>
          <w:szCs w:val="24"/>
        </w:rPr>
        <w:t>i.i.d</w:t>
      </w:r>
      <w:proofErr w:type="spellEnd"/>
      <w:r w:rsidRPr="003D18D4">
        <w:rPr>
          <w:rFonts w:ascii="Times New Roman" w:hAnsi="Times New Roman" w:cs="Times New Roman"/>
          <w:sz w:val="24"/>
          <w:szCs w:val="24"/>
        </w:rPr>
        <w:t>.) over the firms</w:t>
      </w:r>
      <w:r>
        <w:rPr>
          <w:rFonts w:ascii="Times New Roman" w:hAnsi="Times New Roman" w:cs="Times New Roman"/>
          <w:sz w:val="24"/>
          <w:szCs w:val="24"/>
        </w:rPr>
        <w:t>,</w:t>
      </w:r>
      <w:r w:rsidRPr="003D18D4">
        <w:rPr>
          <w:rFonts w:ascii="Times New Roman" w:hAnsi="Times New Roman" w:cs="Times New Roman"/>
          <w:sz w:val="24"/>
          <w:szCs w:val="24"/>
        </w:rPr>
        <w:t xml:space="preserve"> and the disturbances </w:t>
      </w:r>
      <w:proofErr w:type="spellStart"/>
      <w:r w:rsidRPr="003D18D4">
        <w:rPr>
          <w:rFonts w:ascii="Times New Roman" w:hAnsi="Times New Roman" w:cs="Times New Roman"/>
          <w:sz w:val="24"/>
          <w:szCs w:val="24"/>
        </w:rPr>
        <w:t>ε</w:t>
      </w:r>
      <w:r w:rsidRPr="003D18D4">
        <w:rPr>
          <w:rFonts w:ascii="Times New Roman" w:hAnsi="Times New Roman" w:cs="Times New Roman"/>
          <w:sz w:val="24"/>
          <w:szCs w:val="24"/>
          <w:vertAlign w:val="subscript"/>
        </w:rPr>
        <w:t>i</w:t>
      </w:r>
      <w:proofErr w:type="spellEnd"/>
      <w:r w:rsidRPr="003D18D4">
        <w:rPr>
          <w:rFonts w:ascii="Times New Roman" w:hAnsi="Times New Roman" w:cs="Times New Roman"/>
          <w:sz w:val="24"/>
          <w:szCs w:val="24"/>
          <w:vertAlign w:val="subscript"/>
        </w:rPr>
        <w:t>, t</w:t>
      </w:r>
      <w:r w:rsidRPr="003D18D4">
        <w:rPr>
          <w:rFonts w:ascii="Times New Roman" w:hAnsi="Times New Roman" w:cs="Times New Roman"/>
          <w:sz w:val="24"/>
          <w:szCs w:val="24"/>
        </w:rPr>
        <w:t xml:space="preserve"> are</w:t>
      </w:r>
      <w:r>
        <w:rPr>
          <w:rFonts w:ascii="Times New Roman" w:hAnsi="Times New Roman" w:cs="Times New Roman"/>
          <w:sz w:val="24"/>
          <w:szCs w:val="24"/>
        </w:rPr>
        <w:t xml:space="preserve"> the</w:t>
      </w:r>
      <w:r w:rsidRPr="003D18D4">
        <w:rPr>
          <w:rFonts w:ascii="Times New Roman" w:hAnsi="Times New Roman" w:cs="Times New Roman"/>
          <w:sz w:val="24"/>
          <w:szCs w:val="24"/>
        </w:rPr>
        <w:t xml:space="preserve"> </w:t>
      </w:r>
      <w:proofErr w:type="spellStart"/>
      <w:r w:rsidRPr="003D18D4">
        <w:rPr>
          <w:rFonts w:ascii="Times New Roman" w:hAnsi="Times New Roman" w:cs="Times New Roman"/>
          <w:sz w:val="24"/>
          <w:szCs w:val="24"/>
        </w:rPr>
        <w:t>i.i.d</w:t>
      </w:r>
      <w:proofErr w:type="spellEnd"/>
      <w:r w:rsidRPr="003D18D4">
        <w:rPr>
          <w:rFonts w:ascii="Times New Roman" w:hAnsi="Times New Roman" w:cs="Times New Roman"/>
          <w:sz w:val="24"/>
          <w:szCs w:val="24"/>
        </w:rPr>
        <w:t>. over the whole sample.</w:t>
      </w:r>
    </w:p>
    <w:p w:rsidR="004116D4" w:rsidRDefault="00625A84" w:rsidP="00EF351B">
      <w:pPr>
        <w:tabs>
          <w:tab w:val="left" w:pos="810"/>
        </w:tabs>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4116D4">
        <w:rPr>
          <w:rFonts w:ascii="Times New Roman" w:hAnsi="Times New Roman" w:cs="Times New Roman"/>
          <w:b/>
          <w:sz w:val="24"/>
          <w:szCs w:val="24"/>
        </w:rPr>
        <w:t>Financial Ratio Factors</w:t>
      </w:r>
    </w:p>
    <w:p w:rsidR="004116D4" w:rsidRDefault="004116D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little if not, no research has studied the relationship between factors and cash holdings; thus literature to support the signs of factors is limited. </w:t>
      </w:r>
      <w:r w:rsidRPr="00DC7EBD">
        <w:rPr>
          <w:rFonts w:ascii="Times New Roman" w:hAnsi="Times New Roman" w:cs="Times New Roman"/>
          <w:sz w:val="24"/>
          <w:szCs w:val="24"/>
        </w:rPr>
        <w:t xml:space="preserve">Liquidity </w:t>
      </w:r>
      <w:r>
        <w:rPr>
          <w:rFonts w:ascii="Times New Roman" w:hAnsi="Times New Roman" w:cs="Times New Roman"/>
          <w:sz w:val="24"/>
          <w:szCs w:val="24"/>
        </w:rPr>
        <w:t>factor is</w:t>
      </w:r>
      <w:r w:rsidRPr="00DC7EBD">
        <w:rPr>
          <w:rFonts w:ascii="Times New Roman" w:hAnsi="Times New Roman" w:cs="Times New Roman"/>
          <w:sz w:val="24"/>
          <w:szCs w:val="24"/>
        </w:rPr>
        <w:t xml:space="preserve"> measure</w:t>
      </w:r>
      <w:r>
        <w:rPr>
          <w:rFonts w:ascii="Times New Roman" w:hAnsi="Times New Roman" w:cs="Times New Roman"/>
          <w:sz w:val="24"/>
          <w:szCs w:val="24"/>
        </w:rPr>
        <w:t>d</w:t>
      </w:r>
      <w:r w:rsidRPr="00DC7EBD">
        <w:rPr>
          <w:rFonts w:ascii="Times New Roman" w:hAnsi="Times New Roman" w:cs="Times New Roman"/>
          <w:sz w:val="24"/>
          <w:szCs w:val="24"/>
        </w:rPr>
        <w:t xml:space="preserve"> by liquid assets over total assets ratio, also k</w:t>
      </w:r>
      <w:r>
        <w:rPr>
          <w:rFonts w:ascii="Times New Roman" w:hAnsi="Times New Roman" w:cs="Times New Roman"/>
          <w:sz w:val="24"/>
          <w:szCs w:val="24"/>
        </w:rPr>
        <w:t>nown as justification for short-</w:t>
      </w:r>
      <w:r w:rsidRPr="00DC7EBD">
        <w:rPr>
          <w:rFonts w:ascii="Times New Roman" w:hAnsi="Times New Roman" w:cs="Times New Roman"/>
          <w:sz w:val="24"/>
          <w:szCs w:val="24"/>
        </w:rPr>
        <w:t>term liquidity risk for daily transaction</w:t>
      </w:r>
      <w:r>
        <w:rPr>
          <w:rFonts w:ascii="Times New Roman" w:hAnsi="Times New Roman" w:cs="Times New Roman"/>
          <w:sz w:val="24"/>
          <w:szCs w:val="24"/>
        </w:rPr>
        <w:t>s. Solvency factor</w:t>
      </w:r>
      <w:r w:rsidRPr="00DC7EBD">
        <w:rPr>
          <w:rFonts w:ascii="Times New Roman" w:hAnsi="Times New Roman" w:cs="Times New Roman"/>
          <w:sz w:val="24"/>
          <w:szCs w:val="24"/>
        </w:rPr>
        <w:t xml:space="preserve"> is estimate</w:t>
      </w:r>
      <w:r>
        <w:rPr>
          <w:rFonts w:ascii="Times New Roman" w:hAnsi="Times New Roman" w:cs="Times New Roman"/>
          <w:sz w:val="24"/>
          <w:szCs w:val="24"/>
        </w:rPr>
        <w:t>d</w:t>
      </w:r>
      <w:r w:rsidRPr="00DC7EBD">
        <w:rPr>
          <w:rFonts w:ascii="Times New Roman" w:hAnsi="Times New Roman" w:cs="Times New Roman"/>
          <w:sz w:val="24"/>
          <w:szCs w:val="24"/>
        </w:rPr>
        <w:t xml:space="preserve"> using equity over total assets, which</w:t>
      </w:r>
      <w:r>
        <w:rPr>
          <w:rFonts w:ascii="Times New Roman" w:hAnsi="Times New Roman" w:cs="Times New Roman"/>
          <w:sz w:val="24"/>
          <w:szCs w:val="24"/>
        </w:rPr>
        <w:t xml:space="preserve"> is also known as long-</w:t>
      </w:r>
      <w:r w:rsidRPr="00DC7EBD">
        <w:rPr>
          <w:rFonts w:ascii="Times New Roman" w:hAnsi="Times New Roman" w:cs="Times New Roman"/>
          <w:sz w:val="24"/>
          <w:szCs w:val="24"/>
        </w:rPr>
        <w:t>ter</w:t>
      </w:r>
      <w:r>
        <w:rPr>
          <w:rFonts w:ascii="Times New Roman" w:hAnsi="Times New Roman" w:cs="Times New Roman"/>
          <w:sz w:val="24"/>
          <w:szCs w:val="24"/>
        </w:rPr>
        <w:t>m liquidity for long-</w:t>
      </w:r>
      <w:r w:rsidRPr="00DC7EBD">
        <w:rPr>
          <w:rFonts w:ascii="Times New Roman" w:hAnsi="Times New Roman" w:cs="Times New Roman"/>
          <w:sz w:val="24"/>
          <w:szCs w:val="24"/>
        </w:rPr>
        <w:t>term debt obligations. The two m</w:t>
      </w:r>
      <w:r>
        <w:rPr>
          <w:rFonts w:ascii="Times New Roman" w:hAnsi="Times New Roman" w:cs="Times New Roman"/>
          <w:sz w:val="24"/>
          <w:szCs w:val="24"/>
        </w:rPr>
        <w:t xml:space="preserve">easurements are used in </w:t>
      </w:r>
      <w:proofErr w:type="spellStart"/>
      <w:r>
        <w:rPr>
          <w:rFonts w:ascii="Times New Roman" w:hAnsi="Times New Roman" w:cs="Times New Roman"/>
          <w:sz w:val="24"/>
          <w:szCs w:val="24"/>
        </w:rPr>
        <w:t>Ariff</w:t>
      </w:r>
      <w:proofErr w:type="spellEnd"/>
      <w:r>
        <w:rPr>
          <w:rFonts w:ascii="Times New Roman" w:hAnsi="Times New Roman" w:cs="Times New Roman"/>
          <w:sz w:val="24"/>
          <w:szCs w:val="24"/>
        </w:rPr>
        <w:t xml:space="preserve"> et al. </w:t>
      </w:r>
      <w:r w:rsidRPr="00DC7EBD">
        <w:rPr>
          <w:rFonts w:ascii="Times New Roman" w:hAnsi="Times New Roman" w:cs="Times New Roman"/>
          <w:sz w:val="24"/>
          <w:szCs w:val="24"/>
        </w:rPr>
        <w:t>(2013) and expect positive regress</w:t>
      </w:r>
      <w:r>
        <w:rPr>
          <w:rFonts w:ascii="Times New Roman" w:hAnsi="Times New Roman" w:cs="Times New Roman"/>
          <w:sz w:val="24"/>
          <w:szCs w:val="24"/>
        </w:rPr>
        <w:t>ion</w:t>
      </w:r>
      <w:r w:rsidRPr="00DC7EBD">
        <w:rPr>
          <w:rFonts w:ascii="Times New Roman" w:hAnsi="Times New Roman" w:cs="Times New Roman"/>
          <w:sz w:val="24"/>
          <w:szCs w:val="24"/>
        </w:rPr>
        <w:t xml:space="preserve"> with cumulative abnormal return. Since cash holdings aid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w:t>
      </w:r>
      <w:r w:rsidRPr="00DC7EBD">
        <w:rPr>
          <w:rFonts w:ascii="Times New Roman" w:hAnsi="Times New Roman" w:cs="Times New Roman"/>
          <w:sz w:val="24"/>
          <w:szCs w:val="24"/>
        </w:rPr>
        <w:t>reduc</w:t>
      </w:r>
      <w:r>
        <w:rPr>
          <w:rFonts w:ascii="Times New Roman" w:hAnsi="Times New Roman" w:cs="Times New Roman"/>
          <w:sz w:val="24"/>
          <w:szCs w:val="24"/>
        </w:rPr>
        <w:t xml:space="preserve">ing </w:t>
      </w:r>
      <w:r w:rsidRPr="00DC7EBD">
        <w:rPr>
          <w:rFonts w:ascii="Times New Roman" w:hAnsi="Times New Roman" w:cs="Times New Roman"/>
          <w:sz w:val="24"/>
          <w:szCs w:val="24"/>
        </w:rPr>
        <w:t>the pressure of increase</w:t>
      </w:r>
      <w:r>
        <w:rPr>
          <w:rFonts w:ascii="Times New Roman" w:hAnsi="Times New Roman" w:cs="Times New Roman"/>
          <w:sz w:val="24"/>
          <w:szCs w:val="24"/>
        </w:rPr>
        <w:t>d</w:t>
      </w:r>
      <w:r w:rsidRPr="00DC7EBD">
        <w:rPr>
          <w:rFonts w:ascii="Times New Roman" w:hAnsi="Times New Roman" w:cs="Times New Roman"/>
          <w:sz w:val="24"/>
          <w:szCs w:val="24"/>
        </w:rPr>
        <w:t xml:space="preserve"> liquidity risk, </w:t>
      </w:r>
      <w:r>
        <w:rPr>
          <w:rFonts w:ascii="Times New Roman" w:hAnsi="Times New Roman" w:cs="Times New Roman"/>
          <w:sz w:val="24"/>
          <w:szCs w:val="24"/>
        </w:rPr>
        <w:t>it is</w:t>
      </w:r>
      <w:r w:rsidRPr="00DC7EBD">
        <w:rPr>
          <w:rFonts w:ascii="Times New Roman" w:hAnsi="Times New Roman" w:cs="Times New Roman"/>
          <w:sz w:val="24"/>
          <w:szCs w:val="24"/>
        </w:rPr>
        <w:t xml:space="preserve"> believe</w:t>
      </w:r>
      <w:r>
        <w:rPr>
          <w:rFonts w:ascii="Times New Roman" w:hAnsi="Times New Roman" w:cs="Times New Roman"/>
          <w:sz w:val="24"/>
          <w:szCs w:val="24"/>
        </w:rPr>
        <w:t>d</w:t>
      </w:r>
      <w:r w:rsidRPr="00DC7EBD">
        <w:rPr>
          <w:rFonts w:ascii="Times New Roman" w:hAnsi="Times New Roman" w:cs="Times New Roman"/>
          <w:sz w:val="24"/>
          <w:szCs w:val="24"/>
        </w:rPr>
        <w:t xml:space="preserve"> that liquidity and solvency risk factors will</w:t>
      </w:r>
      <w:r>
        <w:rPr>
          <w:rFonts w:ascii="Times New Roman" w:hAnsi="Times New Roman" w:cs="Times New Roman"/>
          <w:sz w:val="24"/>
          <w:szCs w:val="24"/>
        </w:rPr>
        <w:t xml:space="preserve"> be</w:t>
      </w:r>
      <w:r w:rsidRPr="00DC7EBD">
        <w:rPr>
          <w:rFonts w:ascii="Times New Roman" w:hAnsi="Times New Roman" w:cs="Times New Roman"/>
          <w:sz w:val="24"/>
          <w:szCs w:val="24"/>
        </w:rPr>
        <w:t xml:space="preserve"> positively related </w:t>
      </w:r>
      <w:r>
        <w:rPr>
          <w:rFonts w:ascii="Times New Roman" w:hAnsi="Times New Roman" w:cs="Times New Roman"/>
          <w:sz w:val="24"/>
          <w:szCs w:val="24"/>
        </w:rPr>
        <w:t>to</w:t>
      </w:r>
      <w:r w:rsidRPr="00DC7EBD">
        <w:rPr>
          <w:rFonts w:ascii="Times New Roman" w:hAnsi="Times New Roman" w:cs="Times New Roman"/>
          <w:sz w:val="24"/>
          <w:szCs w:val="24"/>
        </w:rPr>
        <w:t xml:space="preserve"> cash holdings. </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repayment ability</w:t>
      </w:r>
      <w:r w:rsidRPr="00DC7EBD">
        <w:rPr>
          <w:rFonts w:ascii="Times New Roman" w:hAnsi="Times New Roman" w:cs="Times New Roman"/>
          <w:sz w:val="24"/>
          <w:szCs w:val="24"/>
        </w:rPr>
        <w:t xml:space="preserve"> factor is calculate</w:t>
      </w:r>
      <w:r>
        <w:rPr>
          <w:rFonts w:ascii="Times New Roman" w:hAnsi="Times New Roman" w:cs="Times New Roman"/>
          <w:sz w:val="24"/>
          <w:szCs w:val="24"/>
        </w:rPr>
        <w:t>d</w:t>
      </w:r>
      <w:r w:rsidRPr="00DC7EBD">
        <w:rPr>
          <w:rFonts w:ascii="Times New Roman" w:hAnsi="Times New Roman" w:cs="Times New Roman"/>
          <w:sz w:val="24"/>
          <w:szCs w:val="24"/>
        </w:rPr>
        <w:t xml:space="preserve"> to measure the ability of </w:t>
      </w:r>
      <w:r>
        <w:rPr>
          <w:rFonts w:ascii="Times New Roman" w:hAnsi="Times New Roman" w:cs="Times New Roman"/>
          <w:sz w:val="24"/>
          <w:szCs w:val="24"/>
        </w:rPr>
        <w:t xml:space="preserve">a </w:t>
      </w:r>
      <w:r w:rsidRPr="00DC7EBD">
        <w:rPr>
          <w:rFonts w:ascii="Times New Roman" w:hAnsi="Times New Roman" w:cs="Times New Roman"/>
          <w:sz w:val="24"/>
          <w:szCs w:val="24"/>
        </w:rPr>
        <w:t xml:space="preserve">firm </w:t>
      </w:r>
      <w:r>
        <w:rPr>
          <w:rFonts w:ascii="Times New Roman" w:hAnsi="Times New Roman" w:cs="Times New Roman"/>
          <w:sz w:val="24"/>
          <w:szCs w:val="24"/>
        </w:rPr>
        <w:t>to repay the interest on debt. Therefore</w:t>
      </w:r>
      <w:r w:rsidRPr="00DC7EBD">
        <w:rPr>
          <w:rFonts w:ascii="Times New Roman" w:hAnsi="Times New Roman" w:cs="Times New Roman"/>
          <w:sz w:val="24"/>
          <w:szCs w:val="24"/>
        </w:rPr>
        <w:t xml:space="preserve"> the proxy fo</w:t>
      </w:r>
      <w:r>
        <w:rPr>
          <w:rFonts w:ascii="Times New Roman" w:hAnsi="Times New Roman" w:cs="Times New Roman"/>
          <w:sz w:val="24"/>
          <w:szCs w:val="24"/>
        </w:rPr>
        <w:t>r interest risk is earnings be</w:t>
      </w:r>
      <w:r w:rsidRPr="00DC7EBD">
        <w:rPr>
          <w:rFonts w:ascii="Times New Roman" w:hAnsi="Times New Roman" w:cs="Times New Roman"/>
          <w:sz w:val="24"/>
          <w:szCs w:val="24"/>
        </w:rPr>
        <w:t>fore interest, taxes and depreciation (EBITD)</w:t>
      </w:r>
      <w:r>
        <w:rPr>
          <w:rFonts w:ascii="Times New Roman" w:hAnsi="Times New Roman" w:cs="Times New Roman"/>
          <w:sz w:val="24"/>
          <w:szCs w:val="24"/>
        </w:rPr>
        <w:t>,</w:t>
      </w:r>
      <w:r w:rsidRPr="00DC7EBD">
        <w:rPr>
          <w:rFonts w:ascii="Times New Roman" w:hAnsi="Times New Roman" w:cs="Times New Roman"/>
          <w:sz w:val="24"/>
          <w:szCs w:val="24"/>
        </w:rPr>
        <w:t xml:space="preserve"> divided by interest expenses, also known as</w:t>
      </w:r>
      <w:r>
        <w:rPr>
          <w:rFonts w:ascii="Times New Roman" w:hAnsi="Times New Roman" w:cs="Times New Roman"/>
          <w:sz w:val="24"/>
          <w:szCs w:val="24"/>
        </w:rPr>
        <w:t xml:space="preserve"> the</w:t>
      </w:r>
      <w:r w:rsidRPr="00DC7EBD">
        <w:rPr>
          <w:rFonts w:ascii="Times New Roman" w:hAnsi="Times New Roman" w:cs="Times New Roman"/>
          <w:sz w:val="24"/>
          <w:szCs w:val="24"/>
        </w:rPr>
        <w:t xml:space="preserve"> interest coverage ratio. </w:t>
      </w:r>
      <w:r>
        <w:rPr>
          <w:rFonts w:ascii="Times New Roman" w:hAnsi="Times New Roman" w:cs="Times New Roman"/>
          <w:sz w:val="24"/>
          <w:szCs w:val="24"/>
        </w:rPr>
        <w:t>A firm with an interest coverage ratio of less than one is assumed to be financially distressed (Desai &amp; Jain, 1999). Firms will increase cash on hand to ensure that cash is sufficient to meet interest obligations in order to avoid becoming financially distressed. Hence, the repayment ability factor is expected to be positively significant with cash holdings.</w:t>
      </w:r>
    </w:p>
    <w:p w:rsidR="004116D4" w:rsidRDefault="00625A84" w:rsidP="00EF351B">
      <w:pPr>
        <w:tabs>
          <w:tab w:val="left" w:pos="810"/>
        </w:tabs>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4116D4" w:rsidRPr="003D18D4">
        <w:rPr>
          <w:rFonts w:ascii="Times New Roman" w:hAnsi="Times New Roman" w:cs="Times New Roman"/>
          <w:b/>
          <w:sz w:val="24"/>
          <w:szCs w:val="24"/>
        </w:rPr>
        <w:t xml:space="preserve">Macroeconomic </w:t>
      </w:r>
      <w:r w:rsidR="004116D4">
        <w:rPr>
          <w:rFonts w:ascii="Times New Roman" w:hAnsi="Times New Roman" w:cs="Times New Roman"/>
          <w:b/>
          <w:sz w:val="24"/>
          <w:szCs w:val="24"/>
        </w:rPr>
        <w:t>R</w:t>
      </w:r>
      <w:r w:rsidR="004116D4" w:rsidRPr="003D18D4">
        <w:rPr>
          <w:rFonts w:ascii="Times New Roman" w:hAnsi="Times New Roman" w:cs="Times New Roman"/>
          <w:b/>
          <w:sz w:val="24"/>
          <w:szCs w:val="24"/>
        </w:rPr>
        <w:t xml:space="preserve">isk </w:t>
      </w:r>
      <w:r w:rsidR="004116D4">
        <w:rPr>
          <w:rFonts w:ascii="Times New Roman" w:hAnsi="Times New Roman" w:cs="Times New Roman"/>
          <w:b/>
          <w:sz w:val="24"/>
          <w:szCs w:val="24"/>
        </w:rPr>
        <w:t>Factors</w:t>
      </w:r>
    </w:p>
    <w:p w:rsidR="004116D4" w:rsidRPr="00BC3682" w:rsidRDefault="00625A84" w:rsidP="00EF351B">
      <w:pPr>
        <w:tabs>
          <w:tab w:val="left" w:pos="81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116D4">
        <w:rPr>
          <w:rFonts w:ascii="Times New Roman" w:hAnsi="Times New Roman" w:cs="Times New Roman"/>
          <w:color w:val="000000"/>
          <w:sz w:val="24"/>
          <w:szCs w:val="24"/>
        </w:rPr>
        <w:t>Macroeconomic risk factors are</w:t>
      </w:r>
      <w:r w:rsidR="004116D4" w:rsidRPr="00BC3682">
        <w:rPr>
          <w:rFonts w:ascii="Times New Roman" w:hAnsi="Times New Roman" w:cs="Times New Roman"/>
          <w:color w:val="000000"/>
          <w:sz w:val="24"/>
          <w:szCs w:val="24"/>
        </w:rPr>
        <w:t xml:space="preserve"> a broad concept encompassing fluctuations in the level of economic activity and prices (</w:t>
      </w:r>
      <w:proofErr w:type="spellStart"/>
      <w:r w:rsidR="004116D4" w:rsidRPr="00BC3682">
        <w:rPr>
          <w:rFonts w:ascii="Times New Roman" w:hAnsi="Times New Roman" w:cs="Times New Roman"/>
          <w:color w:val="000000"/>
          <w:sz w:val="24"/>
          <w:szCs w:val="24"/>
        </w:rPr>
        <w:t>Oxelheim</w:t>
      </w:r>
      <w:proofErr w:type="spellEnd"/>
      <w:r w:rsidR="004116D4" w:rsidRPr="00BC3682">
        <w:rPr>
          <w:rFonts w:ascii="Times New Roman" w:hAnsi="Times New Roman" w:cs="Times New Roman"/>
          <w:color w:val="000000"/>
          <w:sz w:val="24"/>
          <w:szCs w:val="24"/>
        </w:rPr>
        <w:t xml:space="preserve"> &amp; </w:t>
      </w:r>
      <w:proofErr w:type="spellStart"/>
      <w:r w:rsidR="004116D4" w:rsidRPr="00BC3682">
        <w:rPr>
          <w:rFonts w:ascii="Times New Roman" w:hAnsi="Times New Roman" w:cs="Times New Roman"/>
          <w:color w:val="000000"/>
          <w:sz w:val="24"/>
          <w:szCs w:val="24"/>
        </w:rPr>
        <w:t>Wihlborg</w:t>
      </w:r>
      <w:proofErr w:type="spellEnd"/>
      <w:r w:rsidR="004116D4">
        <w:rPr>
          <w:rFonts w:ascii="Times New Roman" w:hAnsi="Times New Roman" w:cs="Times New Roman"/>
          <w:color w:val="000000"/>
          <w:sz w:val="24"/>
          <w:szCs w:val="24"/>
        </w:rPr>
        <w:t>,</w:t>
      </w:r>
      <w:r w:rsidR="004116D4" w:rsidRPr="00BC3682">
        <w:rPr>
          <w:rFonts w:ascii="Times New Roman" w:hAnsi="Times New Roman" w:cs="Times New Roman"/>
          <w:color w:val="000000"/>
          <w:sz w:val="24"/>
          <w:szCs w:val="24"/>
        </w:rPr>
        <w:t xml:space="preserve"> 1987). Inflation will increase the general price</w:t>
      </w:r>
      <w:r w:rsidR="004116D4">
        <w:rPr>
          <w:rFonts w:ascii="Times New Roman" w:hAnsi="Times New Roman" w:cs="Times New Roman"/>
          <w:color w:val="000000"/>
          <w:sz w:val="24"/>
          <w:szCs w:val="24"/>
        </w:rPr>
        <w:t>,</w:t>
      </w:r>
      <w:r w:rsidR="004116D4" w:rsidRPr="00BC3682">
        <w:rPr>
          <w:rFonts w:ascii="Times New Roman" w:hAnsi="Times New Roman" w:cs="Times New Roman"/>
          <w:color w:val="000000"/>
          <w:sz w:val="24"/>
          <w:szCs w:val="24"/>
        </w:rPr>
        <w:t xml:space="preserve"> including the prices of inputs (such as raw materials or </w:t>
      </w:r>
      <w:proofErr w:type="spellStart"/>
      <w:r w:rsidR="004116D4" w:rsidRPr="00BC3682">
        <w:rPr>
          <w:rFonts w:ascii="Times New Roman" w:hAnsi="Times New Roman" w:cs="Times New Roman"/>
          <w:color w:val="000000"/>
          <w:sz w:val="24"/>
          <w:szCs w:val="24"/>
        </w:rPr>
        <w:t>labo</w:t>
      </w:r>
      <w:r w:rsidR="004116D4">
        <w:rPr>
          <w:rFonts w:ascii="Times New Roman" w:hAnsi="Times New Roman" w:cs="Times New Roman"/>
          <w:color w:val="000000"/>
          <w:sz w:val="24"/>
          <w:szCs w:val="24"/>
        </w:rPr>
        <w:t>u</w:t>
      </w:r>
      <w:r w:rsidR="004116D4" w:rsidRPr="00BC3682">
        <w:rPr>
          <w:rFonts w:ascii="Times New Roman" w:hAnsi="Times New Roman" w:cs="Times New Roman"/>
          <w:color w:val="000000"/>
          <w:sz w:val="24"/>
          <w:szCs w:val="24"/>
        </w:rPr>
        <w:t>r</w:t>
      </w:r>
      <w:proofErr w:type="spellEnd"/>
      <w:r w:rsidR="004116D4" w:rsidRPr="00BC3682">
        <w:rPr>
          <w:rFonts w:ascii="Times New Roman" w:hAnsi="Times New Roman" w:cs="Times New Roman"/>
          <w:color w:val="000000"/>
          <w:sz w:val="24"/>
          <w:szCs w:val="24"/>
        </w:rPr>
        <w:t>) and consumer goods. The movements in inflation and exchange rate w</w:t>
      </w:r>
      <w:r w:rsidR="004116D4">
        <w:rPr>
          <w:rFonts w:ascii="Times New Roman" w:hAnsi="Times New Roman" w:cs="Times New Roman"/>
          <w:color w:val="000000"/>
          <w:sz w:val="24"/>
          <w:szCs w:val="24"/>
        </w:rPr>
        <w:t>ill affect</w:t>
      </w:r>
      <w:r w:rsidR="004116D4" w:rsidRPr="00BC3682">
        <w:rPr>
          <w:rFonts w:ascii="Times New Roman" w:hAnsi="Times New Roman" w:cs="Times New Roman"/>
          <w:color w:val="000000"/>
          <w:sz w:val="24"/>
          <w:szCs w:val="24"/>
        </w:rPr>
        <w:t xml:space="preserve"> the purchasing power </w:t>
      </w:r>
      <w:r w:rsidR="004116D4">
        <w:rPr>
          <w:rFonts w:ascii="Times New Roman" w:hAnsi="Times New Roman" w:cs="Times New Roman"/>
          <w:color w:val="000000"/>
          <w:sz w:val="24"/>
          <w:szCs w:val="24"/>
        </w:rPr>
        <w:t>of</w:t>
      </w:r>
      <w:r w:rsidR="004116D4" w:rsidRPr="00BC3682">
        <w:rPr>
          <w:rFonts w:ascii="Times New Roman" w:hAnsi="Times New Roman" w:cs="Times New Roman"/>
          <w:color w:val="000000"/>
          <w:sz w:val="24"/>
          <w:szCs w:val="24"/>
        </w:rPr>
        <w:t xml:space="preserve"> firm</w:t>
      </w:r>
      <w:r w:rsidR="004116D4">
        <w:rPr>
          <w:rFonts w:ascii="Times New Roman" w:hAnsi="Times New Roman" w:cs="Times New Roman"/>
          <w:color w:val="000000"/>
          <w:sz w:val="24"/>
          <w:szCs w:val="24"/>
        </w:rPr>
        <w:t>s</w:t>
      </w:r>
      <w:r w:rsidR="004116D4" w:rsidRPr="00BC3682">
        <w:rPr>
          <w:rFonts w:ascii="Times New Roman" w:hAnsi="Times New Roman" w:cs="Times New Roman"/>
          <w:color w:val="000000"/>
          <w:sz w:val="24"/>
          <w:szCs w:val="24"/>
        </w:rPr>
        <w:t>,</w:t>
      </w:r>
      <w:r w:rsidR="004116D4">
        <w:rPr>
          <w:rFonts w:ascii="Times New Roman" w:hAnsi="Times New Roman" w:cs="Times New Roman"/>
          <w:color w:val="000000"/>
          <w:sz w:val="24"/>
          <w:szCs w:val="24"/>
        </w:rPr>
        <w:t xml:space="preserve"> thus,</w:t>
      </w:r>
      <w:r w:rsidR="004116D4" w:rsidRPr="00BC3682">
        <w:rPr>
          <w:rFonts w:ascii="Times New Roman" w:hAnsi="Times New Roman" w:cs="Times New Roman"/>
          <w:color w:val="000000"/>
          <w:sz w:val="24"/>
          <w:szCs w:val="24"/>
        </w:rPr>
        <w:t xml:space="preserve"> result</w:t>
      </w:r>
      <w:r w:rsidR="004116D4">
        <w:rPr>
          <w:rFonts w:ascii="Times New Roman" w:hAnsi="Times New Roman" w:cs="Times New Roman"/>
          <w:color w:val="000000"/>
          <w:sz w:val="24"/>
          <w:szCs w:val="24"/>
        </w:rPr>
        <w:t>ing</w:t>
      </w:r>
      <w:r w:rsidR="004116D4" w:rsidRPr="00BC3682">
        <w:rPr>
          <w:rFonts w:ascii="Times New Roman" w:hAnsi="Times New Roman" w:cs="Times New Roman"/>
          <w:color w:val="000000"/>
          <w:sz w:val="24"/>
          <w:szCs w:val="24"/>
        </w:rPr>
        <w:t xml:space="preserve"> in aggregate production and general costing on daily business transaction</w:t>
      </w:r>
      <w:r w:rsidR="004116D4">
        <w:rPr>
          <w:rFonts w:ascii="Times New Roman" w:hAnsi="Times New Roman" w:cs="Times New Roman"/>
          <w:color w:val="000000"/>
          <w:sz w:val="24"/>
          <w:szCs w:val="24"/>
        </w:rPr>
        <w:t>s</w:t>
      </w:r>
      <w:r w:rsidR="004116D4" w:rsidRPr="00BC3682">
        <w:rPr>
          <w:rFonts w:ascii="Times New Roman" w:hAnsi="Times New Roman" w:cs="Times New Roman"/>
          <w:color w:val="000000"/>
          <w:sz w:val="24"/>
          <w:szCs w:val="24"/>
        </w:rPr>
        <w:t>. As firm</w:t>
      </w:r>
      <w:r w:rsidR="004116D4">
        <w:rPr>
          <w:rFonts w:ascii="Times New Roman" w:hAnsi="Times New Roman" w:cs="Times New Roman"/>
          <w:color w:val="000000"/>
          <w:sz w:val="24"/>
          <w:szCs w:val="24"/>
        </w:rPr>
        <w:t>’s</w:t>
      </w:r>
      <w:r w:rsidR="004116D4" w:rsidRPr="00BC3682">
        <w:rPr>
          <w:rFonts w:ascii="Times New Roman" w:hAnsi="Times New Roman" w:cs="Times New Roman"/>
          <w:color w:val="000000"/>
          <w:sz w:val="24"/>
          <w:szCs w:val="24"/>
        </w:rPr>
        <w:t xml:space="preserve"> value and market capitalization are closely tied up with the </w:t>
      </w:r>
      <w:proofErr w:type="gramStart"/>
      <w:r w:rsidR="004116D4" w:rsidRPr="00BC3682">
        <w:rPr>
          <w:rFonts w:ascii="Times New Roman" w:hAnsi="Times New Roman" w:cs="Times New Roman"/>
          <w:color w:val="000000"/>
          <w:sz w:val="24"/>
          <w:szCs w:val="24"/>
        </w:rPr>
        <w:t>movement</w:t>
      </w:r>
      <w:r w:rsidR="004116D4">
        <w:rPr>
          <w:rFonts w:ascii="Times New Roman" w:hAnsi="Times New Roman" w:cs="Times New Roman"/>
          <w:color w:val="000000"/>
          <w:sz w:val="24"/>
          <w:szCs w:val="24"/>
        </w:rPr>
        <w:t>’s</w:t>
      </w:r>
      <w:proofErr w:type="gramEnd"/>
      <w:r w:rsidR="004116D4" w:rsidRPr="00BC3682">
        <w:rPr>
          <w:rFonts w:ascii="Times New Roman" w:hAnsi="Times New Roman" w:cs="Times New Roman"/>
          <w:color w:val="000000"/>
          <w:sz w:val="24"/>
          <w:szCs w:val="24"/>
        </w:rPr>
        <w:t xml:space="preserve"> in stock exchanges, fluctuations in </w:t>
      </w:r>
      <w:r w:rsidR="004116D4">
        <w:rPr>
          <w:rFonts w:ascii="Times New Roman" w:hAnsi="Times New Roman" w:cs="Times New Roman"/>
          <w:color w:val="000000"/>
          <w:sz w:val="24"/>
          <w:szCs w:val="24"/>
        </w:rPr>
        <w:t xml:space="preserve">the </w:t>
      </w:r>
      <w:r w:rsidR="004116D4" w:rsidRPr="00BC3682">
        <w:rPr>
          <w:rFonts w:ascii="Times New Roman" w:hAnsi="Times New Roman" w:cs="Times New Roman"/>
          <w:color w:val="000000"/>
          <w:sz w:val="24"/>
          <w:szCs w:val="24"/>
        </w:rPr>
        <w:t>stock market will affect</w:t>
      </w:r>
      <w:r w:rsidR="004116D4">
        <w:rPr>
          <w:rFonts w:ascii="Times New Roman" w:hAnsi="Times New Roman" w:cs="Times New Roman"/>
          <w:color w:val="000000"/>
          <w:sz w:val="24"/>
          <w:szCs w:val="24"/>
        </w:rPr>
        <w:t xml:space="preserve"> a firm’s </w:t>
      </w:r>
      <w:r w:rsidR="004116D4" w:rsidRPr="00BC3682">
        <w:rPr>
          <w:rFonts w:ascii="Times New Roman" w:hAnsi="Times New Roman" w:cs="Times New Roman"/>
          <w:color w:val="000000"/>
          <w:sz w:val="24"/>
          <w:szCs w:val="24"/>
        </w:rPr>
        <w:t xml:space="preserve">decision on investment, financing and performance. </w:t>
      </w:r>
    </w:p>
    <w:p w:rsidR="004116D4" w:rsidRPr="00BC3682" w:rsidRDefault="004116D4" w:rsidP="00EF351B">
      <w:pPr>
        <w:tabs>
          <w:tab w:val="left" w:pos="810"/>
        </w:tabs>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BC3682">
        <w:rPr>
          <w:rFonts w:ascii="Times New Roman" w:hAnsi="Times New Roman" w:cs="Times New Roman"/>
          <w:color w:val="000000"/>
          <w:sz w:val="24"/>
          <w:szCs w:val="24"/>
        </w:rPr>
        <w:t>nflation and currency risk factors are measure</w:t>
      </w:r>
      <w:r>
        <w:rPr>
          <w:rFonts w:ascii="Times New Roman" w:hAnsi="Times New Roman" w:cs="Times New Roman"/>
          <w:color w:val="000000"/>
          <w:sz w:val="24"/>
          <w:szCs w:val="24"/>
        </w:rPr>
        <w:t>d</w:t>
      </w:r>
      <w:r w:rsidRPr="00BC3682">
        <w:rPr>
          <w:rFonts w:ascii="Times New Roman" w:hAnsi="Times New Roman" w:cs="Times New Roman"/>
          <w:color w:val="000000"/>
          <w:sz w:val="24"/>
          <w:szCs w:val="24"/>
        </w:rPr>
        <w:t xml:space="preserve"> by the standard deviation of change</w:t>
      </w:r>
      <w:r>
        <w:rPr>
          <w:rFonts w:ascii="Times New Roman" w:hAnsi="Times New Roman" w:cs="Times New Roman"/>
          <w:color w:val="000000"/>
          <w:sz w:val="24"/>
          <w:szCs w:val="24"/>
        </w:rPr>
        <w:t>s</w:t>
      </w:r>
      <w:r w:rsidRPr="00BC3682">
        <w:rPr>
          <w:rFonts w:ascii="Times New Roman" w:hAnsi="Times New Roman" w:cs="Times New Roman"/>
          <w:color w:val="000000"/>
          <w:sz w:val="24"/>
          <w:szCs w:val="24"/>
        </w:rPr>
        <w:t xml:space="preserve"> in monthly data for</w:t>
      </w:r>
      <w:r>
        <w:rPr>
          <w:rFonts w:ascii="Times New Roman" w:hAnsi="Times New Roman" w:cs="Times New Roman"/>
          <w:color w:val="000000"/>
          <w:sz w:val="24"/>
          <w:szCs w:val="24"/>
        </w:rPr>
        <w:t xml:space="preserve"> a</w:t>
      </w:r>
      <w:r w:rsidRPr="00BC3682">
        <w:rPr>
          <w:rFonts w:ascii="Times New Roman" w:hAnsi="Times New Roman" w:cs="Times New Roman"/>
          <w:color w:val="000000"/>
          <w:sz w:val="24"/>
          <w:szCs w:val="24"/>
        </w:rPr>
        <w:t xml:space="preserve"> particular fiscal year. Firms are expo</w:t>
      </w:r>
      <w:r>
        <w:rPr>
          <w:rFonts w:ascii="Times New Roman" w:hAnsi="Times New Roman" w:cs="Times New Roman"/>
          <w:color w:val="000000"/>
          <w:sz w:val="24"/>
          <w:szCs w:val="24"/>
        </w:rPr>
        <w:t xml:space="preserve">sed to macroeconomic </w:t>
      </w:r>
      <w:r w:rsidRPr="00BC3682">
        <w:rPr>
          <w:rFonts w:ascii="Times New Roman" w:hAnsi="Times New Roman" w:cs="Times New Roman"/>
          <w:color w:val="000000"/>
          <w:sz w:val="24"/>
          <w:szCs w:val="24"/>
        </w:rPr>
        <w:t>risks</w:t>
      </w:r>
      <w:r>
        <w:rPr>
          <w:rFonts w:ascii="Times New Roman" w:hAnsi="Times New Roman" w:cs="Times New Roman"/>
          <w:color w:val="000000"/>
          <w:sz w:val="24"/>
          <w:szCs w:val="24"/>
        </w:rPr>
        <w:t xml:space="preserve">; </w:t>
      </w:r>
      <w:r w:rsidRPr="00BC3682">
        <w:rPr>
          <w:rFonts w:ascii="Times New Roman" w:hAnsi="Times New Roman" w:cs="Times New Roman"/>
          <w:color w:val="000000"/>
          <w:sz w:val="24"/>
          <w:szCs w:val="24"/>
        </w:rPr>
        <w:t>th</w:t>
      </w:r>
      <w:r>
        <w:rPr>
          <w:rFonts w:ascii="Times New Roman" w:hAnsi="Times New Roman" w:cs="Times New Roman"/>
          <w:color w:val="000000"/>
          <w:sz w:val="24"/>
          <w:szCs w:val="24"/>
        </w:rPr>
        <w:t>e</w:t>
      </w:r>
      <w:r w:rsidRPr="00BC3682">
        <w:rPr>
          <w:rFonts w:ascii="Times New Roman" w:hAnsi="Times New Roman" w:cs="Times New Roman"/>
          <w:color w:val="000000"/>
          <w:sz w:val="24"/>
          <w:szCs w:val="24"/>
        </w:rPr>
        <w:t>se corporate risk exposures tend to be multifaceted</w:t>
      </w:r>
      <w:r>
        <w:rPr>
          <w:rFonts w:ascii="Times New Roman" w:hAnsi="Times New Roman" w:cs="Times New Roman"/>
          <w:color w:val="000000"/>
          <w:sz w:val="24"/>
          <w:szCs w:val="24"/>
        </w:rPr>
        <w:t xml:space="preserve"> </w:t>
      </w:r>
      <w:r w:rsidRPr="00BC3682">
        <w:rPr>
          <w:rFonts w:ascii="Times New Roman" w:hAnsi="Times New Roman" w:cs="Times New Roman"/>
          <w:color w:val="000000"/>
          <w:sz w:val="24"/>
          <w:szCs w:val="24"/>
        </w:rPr>
        <w:t>as to challenge any attempt at analytical mode</w:t>
      </w:r>
      <w:r>
        <w:rPr>
          <w:rFonts w:ascii="Times New Roman" w:hAnsi="Times New Roman" w:cs="Times New Roman"/>
          <w:color w:val="000000"/>
          <w:sz w:val="24"/>
          <w:szCs w:val="24"/>
        </w:rPr>
        <w:t>ling in a pro-</w:t>
      </w:r>
      <w:r w:rsidRPr="00BC3682">
        <w:rPr>
          <w:rFonts w:ascii="Times New Roman" w:hAnsi="Times New Roman" w:cs="Times New Roman"/>
          <w:color w:val="000000"/>
          <w:sz w:val="24"/>
          <w:szCs w:val="24"/>
        </w:rPr>
        <w:t>forma statement (Bartr</w:t>
      </w:r>
      <w:r>
        <w:rPr>
          <w:rFonts w:ascii="Times New Roman" w:hAnsi="Times New Roman" w:cs="Times New Roman"/>
          <w:color w:val="000000"/>
          <w:sz w:val="24"/>
          <w:szCs w:val="24"/>
        </w:rPr>
        <w:t>am, 2000). Rita (1980) concluded</w:t>
      </w:r>
      <w:r w:rsidRPr="00BC3682">
        <w:rPr>
          <w:rFonts w:ascii="Times New Roman" w:hAnsi="Times New Roman" w:cs="Times New Roman"/>
          <w:color w:val="000000"/>
          <w:sz w:val="24"/>
          <w:szCs w:val="24"/>
        </w:rPr>
        <w:t xml:space="preserve"> that the appreciation </w:t>
      </w:r>
      <w:r w:rsidRPr="00BC3682">
        <w:rPr>
          <w:rFonts w:ascii="Times New Roman" w:hAnsi="Times New Roman" w:cs="Times New Roman"/>
          <w:color w:val="000000"/>
          <w:sz w:val="24"/>
          <w:szCs w:val="24"/>
        </w:rPr>
        <w:lastRenderedPageBreak/>
        <w:t>in currencies will lead to</w:t>
      </w:r>
      <w:r>
        <w:rPr>
          <w:rFonts w:ascii="Times New Roman" w:hAnsi="Times New Roman" w:cs="Times New Roman"/>
          <w:color w:val="000000"/>
          <w:sz w:val="24"/>
          <w:szCs w:val="24"/>
        </w:rPr>
        <w:t xml:space="preserve"> an</w:t>
      </w:r>
      <w:r w:rsidRPr="00BC3682">
        <w:rPr>
          <w:rFonts w:ascii="Times New Roman" w:hAnsi="Times New Roman" w:cs="Times New Roman"/>
          <w:color w:val="000000"/>
          <w:sz w:val="24"/>
          <w:szCs w:val="24"/>
        </w:rPr>
        <w:t xml:space="preserve"> increase in</w:t>
      </w:r>
      <w:r>
        <w:rPr>
          <w:rFonts w:ascii="Times New Roman" w:hAnsi="Times New Roman" w:cs="Times New Roman"/>
          <w:color w:val="000000"/>
          <w:sz w:val="24"/>
          <w:szCs w:val="24"/>
        </w:rPr>
        <w:t xml:space="preserve"> cash</w:t>
      </w:r>
      <w:r w:rsidRPr="00BC3682">
        <w:rPr>
          <w:rFonts w:ascii="Times New Roman" w:hAnsi="Times New Roman" w:cs="Times New Roman"/>
          <w:color w:val="000000"/>
          <w:sz w:val="24"/>
          <w:szCs w:val="24"/>
        </w:rPr>
        <w:t xml:space="preserve"> holdings </w:t>
      </w:r>
      <w:r>
        <w:rPr>
          <w:rFonts w:ascii="Times New Roman" w:hAnsi="Times New Roman" w:cs="Times New Roman"/>
          <w:color w:val="000000"/>
          <w:sz w:val="24"/>
          <w:szCs w:val="24"/>
        </w:rPr>
        <w:t>and marketable securities. Thus</w:t>
      </w:r>
      <w:r w:rsidRPr="00BC3682">
        <w:rPr>
          <w:rFonts w:ascii="Times New Roman" w:hAnsi="Times New Roman" w:cs="Times New Roman"/>
          <w:color w:val="000000"/>
          <w:sz w:val="24"/>
          <w:szCs w:val="24"/>
        </w:rPr>
        <w:t xml:space="preserve"> currency risk and cash holdings </w:t>
      </w:r>
      <w:r>
        <w:rPr>
          <w:rFonts w:ascii="Times New Roman" w:hAnsi="Times New Roman" w:cs="Times New Roman"/>
          <w:color w:val="000000"/>
          <w:sz w:val="24"/>
          <w:szCs w:val="24"/>
        </w:rPr>
        <w:t>are expected to move in</w:t>
      </w:r>
      <w:r w:rsidRPr="00BC3682">
        <w:rPr>
          <w:rFonts w:ascii="Times New Roman" w:hAnsi="Times New Roman" w:cs="Times New Roman"/>
          <w:color w:val="000000"/>
          <w:sz w:val="24"/>
          <w:szCs w:val="24"/>
        </w:rPr>
        <w:t xml:space="preserve"> the same direction</w:t>
      </w:r>
      <w:r>
        <w:rPr>
          <w:rFonts w:ascii="Times New Roman" w:hAnsi="Times New Roman" w:cs="Times New Roman"/>
          <w:color w:val="000000"/>
          <w:sz w:val="24"/>
          <w:szCs w:val="24"/>
        </w:rPr>
        <w:t xml:space="preserve"> and</w:t>
      </w:r>
      <w:r w:rsidRPr="00BC3682">
        <w:rPr>
          <w:rFonts w:ascii="Times New Roman" w:hAnsi="Times New Roman" w:cs="Times New Roman"/>
          <w:color w:val="000000"/>
          <w:sz w:val="24"/>
          <w:szCs w:val="24"/>
        </w:rPr>
        <w:t xml:space="preserve"> positively relate</w:t>
      </w:r>
      <w:r>
        <w:rPr>
          <w:rFonts w:ascii="Times New Roman" w:hAnsi="Times New Roman" w:cs="Times New Roman"/>
          <w:color w:val="000000"/>
          <w:sz w:val="24"/>
          <w:szCs w:val="24"/>
        </w:rPr>
        <w:t xml:space="preserve"> to</w:t>
      </w:r>
      <w:r w:rsidRPr="00BC3682">
        <w:rPr>
          <w:rFonts w:ascii="Times New Roman" w:hAnsi="Times New Roman" w:cs="Times New Roman"/>
          <w:color w:val="000000"/>
          <w:sz w:val="24"/>
          <w:szCs w:val="24"/>
        </w:rPr>
        <w:t xml:space="preserve"> cash holdings.</w:t>
      </w:r>
    </w:p>
    <w:p w:rsidR="00587D2F" w:rsidRPr="00C53AD0" w:rsidRDefault="004116D4" w:rsidP="00884770">
      <w:pPr>
        <w:tabs>
          <w:tab w:val="left" w:pos="810"/>
        </w:tabs>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Inflation risk is predicted to have a negative relationship with cash holdings for low-cash-firms, but is positively related with high-cash firms. Firms</w:t>
      </w:r>
      <w:r w:rsidRPr="0091755D">
        <w:rPr>
          <w:rFonts w:ascii="Times New Roman" w:hAnsi="Times New Roman" w:cs="Times New Roman"/>
          <w:sz w:val="24"/>
          <w:szCs w:val="24"/>
        </w:rPr>
        <w:t xml:space="preserve"> with exposure to relatively high inflation rates in their cost base might find it tougher to contest</w:t>
      </w:r>
      <w:r>
        <w:rPr>
          <w:rFonts w:ascii="Times New Roman" w:hAnsi="Times New Roman" w:cs="Times New Roman"/>
          <w:sz w:val="24"/>
          <w:szCs w:val="24"/>
        </w:rPr>
        <w:t xml:space="preserve"> on price, thus increasing the challenge of business with a higher chance of defaulting. Higher</w:t>
      </w:r>
      <w:r w:rsidRPr="008F6594">
        <w:rPr>
          <w:rFonts w:ascii="Times New Roman" w:hAnsi="Times New Roman" w:cs="Times New Roman"/>
          <w:sz w:val="24"/>
          <w:szCs w:val="24"/>
        </w:rPr>
        <w:t xml:space="preserve"> </w:t>
      </w:r>
      <w:r>
        <w:rPr>
          <w:rFonts w:ascii="Times New Roman" w:hAnsi="Times New Roman" w:cs="Times New Roman"/>
          <w:sz w:val="24"/>
          <w:szCs w:val="24"/>
        </w:rPr>
        <w:t>inflation risk</w:t>
      </w:r>
      <w:r w:rsidRPr="008F6594">
        <w:rPr>
          <w:rFonts w:ascii="Times New Roman" w:hAnsi="Times New Roman" w:cs="Times New Roman"/>
          <w:sz w:val="24"/>
          <w:szCs w:val="24"/>
        </w:rPr>
        <w:t xml:space="preserve"> will</w:t>
      </w:r>
      <w:r>
        <w:rPr>
          <w:rFonts w:ascii="Times New Roman" w:hAnsi="Times New Roman" w:cs="Times New Roman"/>
          <w:sz w:val="24"/>
          <w:szCs w:val="24"/>
        </w:rPr>
        <w:t xml:space="preserve"> lead to</w:t>
      </w:r>
      <w:r w:rsidRPr="008F6594">
        <w:rPr>
          <w:rFonts w:ascii="Times New Roman" w:hAnsi="Times New Roman" w:cs="Times New Roman"/>
          <w:sz w:val="24"/>
          <w:szCs w:val="24"/>
        </w:rPr>
        <w:t xml:space="preserve"> greater volatility </w:t>
      </w:r>
      <w:r>
        <w:rPr>
          <w:rFonts w:ascii="Times New Roman" w:hAnsi="Times New Roman" w:cs="Times New Roman"/>
          <w:sz w:val="24"/>
          <w:szCs w:val="24"/>
        </w:rPr>
        <w:t>in</w:t>
      </w:r>
      <w:r w:rsidRPr="008F6594">
        <w:rPr>
          <w:rFonts w:ascii="Times New Roman" w:hAnsi="Times New Roman" w:cs="Times New Roman"/>
          <w:sz w:val="24"/>
          <w:szCs w:val="24"/>
        </w:rPr>
        <w:t xml:space="preserve"> all financial markets</w:t>
      </w:r>
      <w:r>
        <w:rPr>
          <w:rFonts w:ascii="Times New Roman" w:hAnsi="Times New Roman" w:cs="Times New Roman"/>
          <w:sz w:val="24"/>
          <w:szCs w:val="24"/>
        </w:rPr>
        <w:t>. Therefore</w:t>
      </w:r>
      <w:r w:rsidRPr="002E5F12">
        <w:rPr>
          <w:rFonts w:ascii="Times New Roman" w:hAnsi="Times New Roman" w:cs="Times New Roman"/>
          <w:sz w:val="24"/>
          <w:szCs w:val="24"/>
        </w:rPr>
        <w:t xml:space="preserve"> firms might hold on to more cash to makes it easier to perform current investments and buy other investments at declining prices (Refer to Chang, Hsieh &amp; Lai, 2000; </w:t>
      </w:r>
      <w:proofErr w:type="spellStart"/>
      <w:r w:rsidRPr="002E5F12">
        <w:rPr>
          <w:rFonts w:ascii="Times New Roman" w:hAnsi="Times New Roman" w:cs="Times New Roman"/>
          <w:sz w:val="24"/>
          <w:szCs w:val="24"/>
        </w:rPr>
        <w:t>Dotsey</w:t>
      </w:r>
      <w:proofErr w:type="spellEnd"/>
      <w:r w:rsidRPr="002E5F12">
        <w:rPr>
          <w:rFonts w:ascii="Times New Roman" w:hAnsi="Times New Roman" w:cs="Times New Roman"/>
          <w:sz w:val="24"/>
          <w:szCs w:val="24"/>
        </w:rPr>
        <w:t xml:space="preserve"> &amp; </w:t>
      </w:r>
      <w:proofErr w:type="spellStart"/>
      <w:r w:rsidRPr="002E5F12">
        <w:rPr>
          <w:rFonts w:ascii="Times New Roman" w:hAnsi="Times New Roman" w:cs="Times New Roman"/>
          <w:sz w:val="24"/>
          <w:szCs w:val="24"/>
        </w:rPr>
        <w:t>Sarte</w:t>
      </w:r>
      <w:proofErr w:type="spellEnd"/>
      <w:r w:rsidRPr="002E5F12">
        <w:rPr>
          <w:rFonts w:ascii="Times New Roman" w:hAnsi="Times New Roman" w:cs="Times New Roman"/>
          <w:sz w:val="24"/>
          <w:szCs w:val="24"/>
        </w:rPr>
        <w:t>, 2000). However, some firms may prefer to invest in valuable property that continues to appreciate, rather than holding on to cash</w:t>
      </w:r>
      <w:r>
        <w:rPr>
          <w:rFonts w:ascii="Times New Roman" w:hAnsi="Times New Roman" w:cs="Times New Roman"/>
          <w:sz w:val="24"/>
          <w:szCs w:val="24"/>
        </w:rPr>
        <w:t>, in order to reduce the loss of value in cash during periods of high inflation.</w:t>
      </w:r>
    </w:p>
    <w:p w:rsidR="004116D4" w:rsidRPr="00625A84" w:rsidRDefault="00625A84" w:rsidP="00625A84">
      <w:pPr>
        <w:pStyle w:val="ListParagraph"/>
        <w:numPr>
          <w:ilvl w:val="0"/>
          <w:numId w:val="29"/>
        </w:numPr>
        <w:tabs>
          <w:tab w:val="left" w:pos="810"/>
        </w:tabs>
        <w:spacing w:line="480" w:lineRule="auto"/>
        <w:jc w:val="both"/>
        <w:rPr>
          <w:rFonts w:ascii="Times New Roman" w:hAnsi="Times New Roman" w:cs="Times New Roman"/>
          <w:b/>
          <w:sz w:val="24"/>
          <w:szCs w:val="24"/>
        </w:rPr>
      </w:pPr>
      <w:r w:rsidRPr="00625A84">
        <w:rPr>
          <w:rFonts w:ascii="Times New Roman" w:hAnsi="Times New Roman" w:cs="Times New Roman"/>
          <w:b/>
          <w:sz w:val="24"/>
          <w:szCs w:val="24"/>
        </w:rPr>
        <w:t>Findings</w:t>
      </w:r>
    </w:p>
    <w:p w:rsidR="004116D4" w:rsidRPr="00625A84" w:rsidRDefault="00625A84" w:rsidP="00625A84">
      <w:pPr>
        <w:tabs>
          <w:tab w:val="left" w:pos="81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4116D4" w:rsidRPr="00625A84">
        <w:rPr>
          <w:rFonts w:ascii="Times New Roman" w:hAnsi="Times New Roman" w:cs="Times New Roman"/>
          <w:b/>
          <w:bCs/>
          <w:sz w:val="24"/>
          <w:szCs w:val="24"/>
        </w:rPr>
        <w:t>Descriptive Statistics for Cash Ratio</w:t>
      </w:r>
      <w:r w:rsidR="004116D4" w:rsidRPr="00625A84">
        <w:rPr>
          <w:rFonts w:ascii="Times New Roman" w:hAnsi="Times New Roman" w:cs="Times New Roman" w:hint="eastAsia"/>
          <w:b/>
          <w:bCs/>
          <w:sz w:val="24"/>
          <w:szCs w:val="24"/>
        </w:rPr>
        <w:t>, Financial Ratios and</w:t>
      </w:r>
      <w:r w:rsidR="004116D4" w:rsidRPr="00625A84">
        <w:rPr>
          <w:rFonts w:ascii="Times New Roman" w:hAnsi="Times New Roman" w:cs="Times New Roman"/>
          <w:b/>
          <w:bCs/>
          <w:sz w:val="24"/>
          <w:szCs w:val="24"/>
        </w:rPr>
        <w:t xml:space="preserve"> Risk Factors</w:t>
      </w:r>
    </w:p>
    <w:p w:rsidR="004116D4" w:rsidRDefault="00587D2F"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116D4">
        <w:rPr>
          <w:rFonts w:ascii="Times New Roman" w:hAnsi="Times New Roman" w:cs="Times New Roman"/>
          <w:sz w:val="24"/>
          <w:szCs w:val="24"/>
        </w:rPr>
        <w:t>objective of</w:t>
      </w:r>
      <w:r w:rsidR="004116D4" w:rsidRPr="00E4170A">
        <w:rPr>
          <w:rFonts w:ascii="Times New Roman" w:hAnsi="Times New Roman" w:cs="Times New Roman"/>
          <w:sz w:val="24"/>
          <w:szCs w:val="24"/>
        </w:rPr>
        <w:t xml:space="preserve"> this research is to </w:t>
      </w:r>
      <w:r w:rsidR="004116D4">
        <w:rPr>
          <w:rFonts w:ascii="Times New Roman" w:hAnsi="Times New Roman" w:cs="Times New Roman"/>
          <w:sz w:val="24"/>
          <w:szCs w:val="24"/>
        </w:rPr>
        <w:t xml:space="preserve">investigate the effect of </w:t>
      </w:r>
      <w:r w:rsidR="004116D4">
        <w:rPr>
          <w:rFonts w:ascii="Times New Roman" w:hAnsi="Times New Roman" w:cs="Times New Roman" w:hint="eastAsia"/>
          <w:sz w:val="24"/>
          <w:szCs w:val="24"/>
        </w:rPr>
        <w:t>financial ratios</w:t>
      </w:r>
      <w:r w:rsidR="004116D4">
        <w:rPr>
          <w:rFonts w:ascii="Times New Roman" w:hAnsi="Times New Roman" w:cs="Times New Roman"/>
          <w:sz w:val="24"/>
          <w:szCs w:val="24"/>
        </w:rPr>
        <w:t xml:space="preserve"> and macroeconomic risk factors on firm cash ratio for developed and developing Asian countries. As the first two objectives are related to and discuss the role and value of corporate cash holdings, the third objective attempts to cover </w:t>
      </w:r>
      <w:r w:rsidR="004116D4">
        <w:rPr>
          <w:rFonts w:ascii="Times New Roman" w:hAnsi="Times New Roman" w:cs="Times New Roman" w:hint="eastAsia"/>
          <w:sz w:val="24"/>
          <w:szCs w:val="24"/>
        </w:rPr>
        <w:t xml:space="preserve">financial ratios and </w:t>
      </w:r>
      <w:r w:rsidR="004116D4">
        <w:rPr>
          <w:rFonts w:ascii="Times New Roman" w:hAnsi="Times New Roman" w:cs="Times New Roman"/>
          <w:sz w:val="24"/>
          <w:szCs w:val="24"/>
        </w:rPr>
        <w:t xml:space="preserve">risk factors impacting corporate cash holdings, in order to further complete and provide comprehensive findings for this study of corporate cash holdings. Many studies have been conducted on the determination of cash holdings by involving firm-specific and macroeconomics variables. However, none of these provide evidence regarding </w:t>
      </w:r>
      <w:r w:rsidR="004116D4">
        <w:rPr>
          <w:rFonts w:ascii="Times New Roman" w:hAnsi="Times New Roman" w:cs="Times New Roman" w:hint="eastAsia"/>
          <w:sz w:val="24"/>
          <w:szCs w:val="24"/>
        </w:rPr>
        <w:t xml:space="preserve">financial ratios and </w:t>
      </w:r>
      <w:r w:rsidR="004116D4">
        <w:rPr>
          <w:rFonts w:ascii="Times New Roman" w:hAnsi="Times New Roman" w:cs="Times New Roman"/>
          <w:sz w:val="24"/>
          <w:szCs w:val="24"/>
        </w:rPr>
        <w:t xml:space="preserve">risk factors that significantly affect the changes in firm cash ratio. Therefore, </w:t>
      </w:r>
      <w:r w:rsidR="004116D4">
        <w:rPr>
          <w:rFonts w:ascii="Times New Roman" w:hAnsi="Times New Roman" w:cs="Times New Roman"/>
          <w:sz w:val="24"/>
          <w:szCs w:val="24"/>
        </w:rPr>
        <w:lastRenderedPageBreak/>
        <w:t xml:space="preserve">the third objective seeks to fill in this gap in the study of cash literature, and attempt to complete the explanation of cash-related findings in the other two objectives. </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descriptive statistics for </w:t>
      </w:r>
      <w:r>
        <w:rPr>
          <w:rFonts w:ascii="Times New Roman" w:hAnsi="Times New Roman" w:cs="Times New Roman" w:hint="eastAsia"/>
          <w:sz w:val="24"/>
          <w:szCs w:val="24"/>
        </w:rPr>
        <w:t>financial ratios</w:t>
      </w:r>
      <w:r>
        <w:rPr>
          <w:rFonts w:ascii="Times New Roman" w:hAnsi="Times New Roman" w:cs="Times New Roman"/>
          <w:sz w:val="24"/>
          <w:szCs w:val="24"/>
        </w:rPr>
        <w:t xml:space="preserve"> and macroeconomics risk factors as well as the ca</w:t>
      </w:r>
      <w:r w:rsidR="00587D2F">
        <w:rPr>
          <w:rFonts w:ascii="Times New Roman" w:hAnsi="Times New Roman" w:cs="Times New Roman"/>
          <w:sz w:val="24"/>
          <w:szCs w:val="24"/>
        </w:rPr>
        <w:t xml:space="preserve">sh ratio are shown in Table </w:t>
      </w:r>
      <w:r>
        <w:rPr>
          <w:rFonts w:ascii="Times New Roman" w:hAnsi="Times New Roman" w:cs="Times New Roman"/>
          <w:sz w:val="24"/>
          <w:szCs w:val="24"/>
        </w:rPr>
        <w:t xml:space="preserve">1. The top part of the table gives the descriptive statistics for the listed firms in KOSE, while the bottom is for the listed firms in Bursa Malaysia. Among </w:t>
      </w:r>
      <w:r>
        <w:rPr>
          <w:rFonts w:ascii="Times New Roman" w:hAnsi="Times New Roman" w:cs="Times New Roman" w:hint="eastAsia"/>
          <w:sz w:val="24"/>
          <w:szCs w:val="24"/>
        </w:rPr>
        <w:t>financial ratios</w:t>
      </w:r>
      <w:r>
        <w:rPr>
          <w:rFonts w:ascii="Times New Roman" w:hAnsi="Times New Roman" w:cs="Times New Roman"/>
          <w:sz w:val="24"/>
          <w:szCs w:val="24"/>
        </w:rPr>
        <w:t xml:space="preserve">, the listed firms in KOSE face a comparatively higher </w:t>
      </w:r>
      <w:r>
        <w:rPr>
          <w:rFonts w:ascii="Times New Roman" w:hAnsi="Times New Roman" w:cs="Times New Roman" w:hint="eastAsia"/>
          <w:sz w:val="24"/>
          <w:szCs w:val="24"/>
        </w:rPr>
        <w:t>repayment ability factor</w:t>
      </w:r>
      <w:r>
        <w:rPr>
          <w:rFonts w:ascii="Times New Roman" w:hAnsi="Times New Roman" w:cs="Times New Roman"/>
          <w:sz w:val="24"/>
          <w:szCs w:val="24"/>
        </w:rPr>
        <w:t>, whereas the listed firms in Bursa Malaysia experience a higher liquidity and solvency</w:t>
      </w:r>
      <w:r>
        <w:rPr>
          <w:rFonts w:ascii="Times New Roman" w:hAnsi="Times New Roman" w:cs="Times New Roman" w:hint="eastAsia"/>
          <w:sz w:val="24"/>
          <w:szCs w:val="24"/>
        </w:rPr>
        <w:t xml:space="preserve"> factors</w:t>
      </w:r>
      <w:r>
        <w:rPr>
          <w:rFonts w:ascii="Times New Roman" w:hAnsi="Times New Roman" w:cs="Times New Roman"/>
          <w:sz w:val="24"/>
          <w:szCs w:val="24"/>
        </w:rPr>
        <w:t xml:space="preserve">, which mainly focus on sufficient liquidity to meet short-term and long-term obligations. These criteria could be further explained by the firm-specific characteristics. The macroeconomic risk factors, which include currency, </w:t>
      </w:r>
      <w:r>
        <w:rPr>
          <w:rFonts w:ascii="Times New Roman" w:hAnsi="Times New Roman" w:cs="Times New Roman" w:hint="eastAsia"/>
          <w:sz w:val="24"/>
          <w:szCs w:val="24"/>
        </w:rPr>
        <w:t>and inflation</w:t>
      </w:r>
      <w:r>
        <w:rPr>
          <w:rFonts w:ascii="Times New Roman" w:hAnsi="Times New Roman" w:cs="Times New Roman"/>
          <w:sz w:val="24"/>
          <w:szCs w:val="24"/>
        </w:rPr>
        <w:t xml:space="preserve"> risk</w:t>
      </w:r>
      <w:r>
        <w:rPr>
          <w:rFonts w:ascii="Times New Roman" w:hAnsi="Times New Roman" w:cs="Times New Roman" w:hint="eastAsia"/>
          <w:sz w:val="24"/>
          <w:szCs w:val="24"/>
        </w:rPr>
        <w:t xml:space="preserve"> factors</w:t>
      </w:r>
      <w:r>
        <w:rPr>
          <w:rFonts w:ascii="Times New Roman" w:hAnsi="Times New Roman" w:cs="Times New Roman"/>
          <w:sz w:val="24"/>
          <w:szCs w:val="24"/>
        </w:rPr>
        <w:t xml:space="preserve"> are greater for the listed firms in KOSE than for Bursa Malaysia. </w:t>
      </w:r>
      <w:r w:rsidRPr="00F27A3E">
        <w:rPr>
          <w:rFonts w:ascii="Times New Roman" w:hAnsi="Times New Roman" w:cs="Times New Roman"/>
          <w:sz w:val="24"/>
          <w:szCs w:val="24"/>
        </w:rPr>
        <w:t>The volatility of macroeconomic elements in Malaysia is slightly lower than the fluctuation o</w:t>
      </w:r>
      <w:r>
        <w:rPr>
          <w:rFonts w:ascii="Times New Roman" w:hAnsi="Times New Roman" w:cs="Times New Roman"/>
          <w:sz w:val="24"/>
          <w:szCs w:val="24"/>
        </w:rPr>
        <w:t xml:space="preserve">f </w:t>
      </w:r>
      <w:r w:rsidRPr="00F27A3E">
        <w:rPr>
          <w:rFonts w:ascii="Times New Roman" w:hAnsi="Times New Roman" w:cs="Times New Roman"/>
          <w:sz w:val="24"/>
          <w:szCs w:val="24"/>
        </w:rPr>
        <w:t>exchange rate</w:t>
      </w:r>
      <w:r>
        <w:rPr>
          <w:rFonts w:ascii="Times New Roman" w:hAnsi="Times New Roman" w:cs="Times New Roman"/>
          <w:sz w:val="24"/>
          <w:szCs w:val="24"/>
        </w:rPr>
        <w:t xml:space="preserve">s and inflation </w:t>
      </w:r>
      <w:r w:rsidRPr="00F27A3E">
        <w:rPr>
          <w:rFonts w:ascii="Times New Roman" w:hAnsi="Times New Roman" w:cs="Times New Roman"/>
          <w:sz w:val="24"/>
          <w:szCs w:val="24"/>
        </w:rPr>
        <w:t>risk in South Korea.</w:t>
      </w:r>
      <w:r>
        <w:rPr>
          <w:rFonts w:ascii="Times New Roman" w:hAnsi="Times New Roman" w:cs="Times New Roman"/>
          <w:sz w:val="24"/>
          <w:szCs w:val="24"/>
        </w:rPr>
        <w:t xml:space="preserve"> </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mean and standard deviation of cash ratio are about the same for both stock exchanges, which show the mean of 0.1232 and standard deviation of 0.1124 for the listed firms in KOSE, and the mean of 0.1273 and standard deviation of 0.1313 for the listed firms in Bursa Malaysia. The previous section reports a higher standard deviation of </w:t>
      </w:r>
      <w:r>
        <w:rPr>
          <w:rFonts w:ascii="Times New Roman" w:hAnsi="Times New Roman" w:cs="Times New Roman" w:hint="eastAsia"/>
          <w:sz w:val="24"/>
          <w:szCs w:val="24"/>
        </w:rPr>
        <w:t>the</w:t>
      </w:r>
      <w:r>
        <w:rPr>
          <w:rFonts w:ascii="Times New Roman" w:hAnsi="Times New Roman" w:cs="Times New Roman"/>
          <w:sz w:val="24"/>
          <w:szCs w:val="24"/>
        </w:rPr>
        <w:t xml:space="preserve"> change in interest expenses for KOSE relative to the listed firms in Bursa Malaysia. </w:t>
      </w:r>
      <w:r>
        <w:rPr>
          <w:rFonts w:ascii="Times New Roman" w:hAnsi="Times New Roman" w:cs="Times New Roman" w:hint="eastAsia"/>
          <w:sz w:val="24"/>
          <w:szCs w:val="24"/>
        </w:rPr>
        <w:t>T</w:t>
      </w:r>
      <w:r>
        <w:rPr>
          <w:rFonts w:ascii="Times New Roman" w:hAnsi="Times New Roman" w:cs="Times New Roman"/>
          <w:sz w:val="24"/>
          <w:szCs w:val="24"/>
        </w:rPr>
        <w:t xml:space="preserve">he higher mean and standard deviation of the change in interest expenses show that the listed firms in KOSE are paying a relatively higher payment on interest charges. As a result, the </w:t>
      </w:r>
      <w:r>
        <w:rPr>
          <w:rFonts w:ascii="Times New Roman" w:hAnsi="Times New Roman" w:cs="Times New Roman" w:hint="eastAsia"/>
          <w:sz w:val="24"/>
          <w:szCs w:val="24"/>
        </w:rPr>
        <w:t>interest risk</w:t>
      </w:r>
      <w:r>
        <w:rPr>
          <w:rFonts w:ascii="Times New Roman" w:hAnsi="Times New Roman" w:cs="Times New Roman"/>
          <w:sz w:val="24"/>
          <w:szCs w:val="24"/>
        </w:rPr>
        <w:t xml:space="preserve"> for the listed firms in KOSE is greater than in Bursa Malaysia.</w:t>
      </w: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4116D4" w:rsidRPr="00B34BE6" w:rsidRDefault="004116D4" w:rsidP="004116D4">
      <w:pPr>
        <w:tabs>
          <w:tab w:val="left" w:pos="81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Pr="00B34BE6">
        <w:rPr>
          <w:rFonts w:ascii="Times New Roman" w:hAnsi="Times New Roman" w:cs="Times New Roman"/>
          <w:b/>
          <w:sz w:val="24"/>
          <w:szCs w:val="24"/>
        </w:rPr>
        <w:t xml:space="preserve">1: Descriptive </w:t>
      </w:r>
      <w:r>
        <w:rPr>
          <w:rFonts w:ascii="Times New Roman" w:hAnsi="Times New Roman" w:cs="Times New Roman"/>
          <w:b/>
          <w:sz w:val="24"/>
          <w:szCs w:val="24"/>
        </w:rPr>
        <w:t>s</w:t>
      </w:r>
      <w:r w:rsidRPr="00B34BE6">
        <w:rPr>
          <w:rFonts w:ascii="Times New Roman" w:hAnsi="Times New Roman" w:cs="Times New Roman"/>
          <w:b/>
          <w:sz w:val="24"/>
          <w:szCs w:val="24"/>
        </w:rPr>
        <w:t>tatistic</w:t>
      </w:r>
      <w:r>
        <w:rPr>
          <w:rFonts w:ascii="Times New Roman" w:hAnsi="Times New Roman" w:cs="Times New Roman"/>
          <w:b/>
          <w:sz w:val="24"/>
          <w:szCs w:val="24"/>
        </w:rPr>
        <w:t>s for KOSE and Bursa Malaysia</w:t>
      </w:r>
      <w:r w:rsidRPr="00B34BE6">
        <w:rPr>
          <w:rFonts w:ascii="Times New Roman" w:hAnsi="Times New Roman" w:cs="Times New Roman"/>
          <w:b/>
          <w:sz w:val="24"/>
          <w:szCs w:val="24"/>
        </w:rPr>
        <w:t xml:space="preserve"> </w:t>
      </w:r>
      <w:r>
        <w:rPr>
          <w:rFonts w:ascii="Times New Roman" w:hAnsi="Times New Roman" w:cs="Times New Roman"/>
          <w:b/>
          <w:sz w:val="24"/>
          <w:szCs w:val="24"/>
        </w:rPr>
        <w:t>s</w:t>
      </w:r>
      <w:r w:rsidRPr="00B34BE6">
        <w:rPr>
          <w:rFonts w:ascii="Times New Roman" w:hAnsi="Times New Roman" w:cs="Times New Roman"/>
          <w:b/>
          <w:sz w:val="24"/>
          <w:szCs w:val="24"/>
        </w:rPr>
        <w:t xml:space="preserve">tarting </w:t>
      </w:r>
      <w:r>
        <w:rPr>
          <w:rFonts w:ascii="Times New Roman" w:hAnsi="Times New Roman" w:cs="Times New Roman"/>
          <w:b/>
          <w:sz w:val="24"/>
          <w:szCs w:val="24"/>
        </w:rPr>
        <w:t>f</w:t>
      </w:r>
      <w:r w:rsidRPr="00B34BE6">
        <w:rPr>
          <w:rFonts w:ascii="Times New Roman" w:hAnsi="Times New Roman" w:cs="Times New Roman"/>
          <w:b/>
          <w:sz w:val="24"/>
          <w:szCs w:val="24"/>
        </w:rPr>
        <w:t>rom 2001 to 2012</w:t>
      </w:r>
    </w:p>
    <w:tbl>
      <w:tblPr>
        <w:tblW w:w="5000" w:type="pct"/>
        <w:tblLook w:val="04A0" w:firstRow="1" w:lastRow="0" w:firstColumn="1" w:lastColumn="0" w:noHBand="0" w:noVBand="1"/>
      </w:tblPr>
      <w:tblGrid>
        <w:gridCol w:w="1836"/>
        <w:gridCol w:w="1319"/>
        <w:gridCol w:w="1320"/>
        <w:gridCol w:w="1176"/>
        <w:gridCol w:w="1293"/>
        <w:gridCol w:w="1253"/>
        <w:gridCol w:w="1379"/>
      </w:tblGrid>
      <w:tr w:rsidR="004116D4" w:rsidRPr="00B34BE6" w:rsidTr="006E635A">
        <w:trPr>
          <w:trHeight w:val="300"/>
        </w:trPr>
        <w:tc>
          <w:tcPr>
            <w:tcW w:w="959" w:type="pct"/>
            <w:tcBorders>
              <w:top w:val="single" w:sz="4" w:space="0" w:color="auto"/>
              <w:left w:val="nil"/>
              <w:bottom w:val="nil"/>
              <w:right w:val="nil"/>
            </w:tcBorders>
            <w:shd w:val="clear" w:color="auto" w:fill="auto"/>
            <w:noWrap/>
            <w:vAlign w:val="bottom"/>
            <w:hideMark/>
          </w:tcPr>
          <w:p w:rsidR="004116D4" w:rsidRPr="00D6148B" w:rsidRDefault="004116D4" w:rsidP="006E635A">
            <w:pPr>
              <w:tabs>
                <w:tab w:val="left" w:pos="810"/>
              </w:tabs>
              <w:spacing w:after="0" w:line="240" w:lineRule="auto"/>
              <w:rPr>
                <w:rFonts w:ascii="Times New Roman" w:eastAsia="Times New Roman" w:hAnsi="Times New Roman" w:cs="Times New Roman"/>
                <w:b/>
                <w:color w:val="000000"/>
              </w:rPr>
            </w:pPr>
            <w:r w:rsidRPr="00D6148B">
              <w:rPr>
                <w:rFonts w:ascii="Times New Roman" w:eastAsia="Times New Roman" w:hAnsi="Times New Roman" w:cs="Times New Roman"/>
                <w:b/>
                <w:color w:val="000000"/>
              </w:rPr>
              <w:t>KOSE</w:t>
            </w:r>
          </w:p>
        </w:tc>
        <w:tc>
          <w:tcPr>
            <w:tcW w:w="1378"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sidRPr="00B34BE6">
              <w:rPr>
                <w:rFonts w:ascii="Times New Roman" w:eastAsia="Times New Roman" w:hAnsi="Times New Roman" w:cs="Times New Roman"/>
                <w:color w:val="000000"/>
              </w:rPr>
              <w:t>All</w:t>
            </w:r>
          </w:p>
        </w:tc>
        <w:tc>
          <w:tcPr>
            <w:tcW w:w="1289"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High c</w:t>
            </w:r>
            <w:r w:rsidRPr="00B34BE6">
              <w:rPr>
                <w:rFonts w:ascii="Times New Roman" w:eastAsia="Times New Roman" w:hAnsi="Times New Roman" w:cs="Times New Roman"/>
                <w:color w:val="000000"/>
              </w:rPr>
              <w:t>ash</w:t>
            </w:r>
          </w:p>
        </w:tc>
        <w:tc>
          <w:tcPr>
            <w:tcW w:w="1374"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Low c</w:t>
            </w:r>
            <w:r w:rsidRPr="00B34BE6">
              <w:rPr>
                <w:rFonts w:ascii="Times New Roman" w:eastAsia="Times New Roman" w:hAnsi="Times New Roman" w:cs="Times New Roman"/>
                <w:color w:val="000000"/>
              </w:rPr>
              <w:t>ash</w:t>
            </w:r>
          </w:p>
        </w:tc>
      </w:tr>
      <w:tr w:rsidR="004116D4" w:rsidRPr="00B34BE6" w:rsidTr="006E635A">
        <w:trPr>
          <w:trHeight w:val="300"/>
        </w:trPr>
        <w:tc>
          <w:tcPr>
            <w:tcW w:w="95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Variable</w:t>
            </w:r>
          </w:p>
        </w:tc>
        <w:tc>
          <w:tcPr>
            <w:tcW w:w="68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68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c>
          <w:tcPr>
            <w:tcW w:w="614"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675"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c>
          <w:tcPr>
            <w:tcW w:w="654"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72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r>
      <w:tr w:rsidR="004116D4" w:rsidRPr="00B34BE6" w:rsidTr="006E635A">
        <w:trPr>
          <w:trHeight w:val="58"/>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Cash r</w:t>
            </w:r>
            <w:r w:rsidRPr="00B34BE6">
              <w:rPr>
                <w:rFonts w:ascii="Times New Roman" w:eastAsia="Times New Roman" w:hAnsi="Times New Roman" w:cs="Times New Roman"/>
                <w:color w:val="000000"/>
              </w:rPr>
              <w:t>atio</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0.1232</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0.1124</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0.3293</w:t>
            </w: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0.1389</w:t>
            </w: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0.1017</w:t>
            </w: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0.0840</w:t>
            </w:r>
          </w:p>
        </w:tc>
      </w:tr>
      <w:tr w:rsidR="004116D4" w:rsidRPr="00B34BE6" w:rsidTr="006E635A">
        <w:trPr>
          <w:trHeight w:val="300"/>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Repayment ability</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9.9415</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34.1960</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32.4102</w:t>
            </w: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80.1360</w:t>
            </w: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8.2737</w:t>
            </w: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27.2145</w:t>
            </w:r>
          </w:p>
        </w:tc>
      </w:tr>
      <w:tr w:rsidR="004116D4" w:rsidRPr="00B34BE6" w:rsidTr="006E635A">
        <w:trPr>
          <w:trHeight w:val="300"/>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Liq</w:t>
            </w:r>
            <w:r>
              <w:rPr>
                <w:rFonts w:ascii="Times New Roman" w:eastAsia="Times New Roman" w:hAnsi="Times New Roman" w:cs="Times New Roman"/>
                <w:color w:val="000000"/>
              </w:rPr>
              <w:t>uidity factor</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1.7963</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1.6345</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4.1667</w:t>
            </w: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2.8734</w:t>
            </w: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1.5512</w:t>
            </w: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1.2062</w:t>
            </w:r>
          </w:p>
        </w:tc>
      </w:tr>
      <w:tr w:rsidR="004116D4" w:rsidRPr="00B34BE6" w:rsidTr="006E635A">
        <w:trPr>
          <w:trHeight w:val="300"/>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Solvency factor</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11.9879</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16.4386</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23.9792</w:t>
            </w: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24.7571</w:t>
            </w: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11.4161</w:t>
            </w: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15.7121</w:t>
            </w:r>
          </w:p>
        </w:tc>
      </w:tr>
      <w:tr w:rsidR="004116D4" w:rsidRPr="00B34BE6" w:rsidTr="006E635A">
        <w:trPr>
          <w:trHeight w:val="68"/>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Currency r</w:t>
            </w:r>
            <w:r w:rsidRPr="00B34BE6">
              <w:rPr>
                <w:rFonts w:ascii="Times New Roman" w:eastAsia="Times New Roman" w:hAnsi="Times New Roman" w:cs="Times New Roman"/>
                <w:color w:val="000000"/>
              </w:rPr>
              <w:t>isk</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0.0278</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0.0136</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5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Inflation r</w:t>
            </w:r>
            <w:r w:rsidRPr="00B34BE6">
              <w:rPr>
                <w:rFonts w:ascii="Times New Roman" w:eastAsia="Times New Roman" w:hAnsi="Times New Roman" w:cs="Times New Roman"/>
                <w:color w:val="000000"/>
              </w:rPr>
              <w:t>isk</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0.0040</w:t>
            </w:r>
          </w:p>
        </w:tc>
        <w:tc>
          <w:tcPr>
            <w:tcW w:w="689"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0.0008</w:t>
            </w:r>
          </w:p>
        </w:tc>
        <w:tc>
          <w:tcPr>
            <w:tcW w:w="61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75"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54"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5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8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89"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14"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75"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54"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72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r>
    </w:tbl>
    <w:p w:rsidR="004116D4" w:rsidRPr="00D6148B" w:rsidRDefault="004116D4" w:rsidP="004116D4">
      <w:pPr>
        <w:tabs>
          <w:tab w:val="left" w:pos="810"/>
        </w:tabs>
        <w:spacing w:line="240" w:lineRule="auto"/>
        <w:jc w:val="both"/>
        <w:rPr>
          <w:rFonts w:ascii="Times New Roman" w:hAnsi="Times New Roman" w:cs="Times New Roman"/>
        </w:rPr>
      </w:pPr>
    </w:p>
    <w:tbl>
      <w:tblPr>
        <w:tblW w:w="5000" w:type="pct"/>
        <w:tblLook w:val="04A0" w:firstRow="1" w:lastRow="0" w:firstColumn="1" w:lastColumn="0" w:noHBand="0" w:noVBand="1"/>
      </w:tblPr>
      <w:tblGrid>
        <w:gridCol w:w="1843"/>
        <w:gridCol w:w="1325"/>
        <w:gridCol w:w="1231"/>
        <w:gridCol w:w="1187"/>
        <w:gridCol w:w="1341"/>
        <w:gridCol w:w="1237"/>
        <w:gridCol w:w="1412"/>
      </w:tblGrid>
      <w:tr w:rsidR="004116D4" w:rsidRPr="00B34BE6" w:rsidTr="006E635A">
        <w:trPr>
          <w:trHeight w:val="300"/>
        </w:trPr>
        <w:tc>
          <w:tcPr>
            <w:tcW w:w="962" w:type="pct"/>
            <w:tcBorders>
              <w:top w:val="single" w:sz="4" w:space="0" w:color="auto"/>
              <w:left w:val="nil"/>
              <w:bottom w:val="nil"/>
              <w:right w:val="nil"/>
            </w:tcBorders>
            <w:shd w:val="clear" w:color="auto" w:fill="auto"/>
            <w:noWrap/>
            <w:vAlign w:val="bottom"/>
            <w:hideMark/>
          </w:tcPr>
          <w:p w:rsidR="004116D4" w:rsidRPr="00D6148B" w:rsidRDefault="004116D4" w:rsidP="006E635A">
            <w:pPr>
              <w:tabs>
                <w:tab w:val="left" w:pos="810"/>
              </w:tabs>
              <w:spacing w:after="0" w:line="240" w:lineRule="auto"/>
              <w:rPr>
                <w:rFonts w:ascii="Times New Roman" w:eastAsia="Times New Roman" w:hAnsi="Times New Roman" w:cs="Times New Roman"/>
                <w:b/>
                <w:color w:val="000000"/>
              </w:rPr>
            </w:pPr>
            <w:r w:rsidRPr="00D6148B">
              <w:rPr>
                <w:rFonts w:ascii="Times New Roman" w:eastAsia="Times New Roman" w:hAnsi="Times New Roman" w:cs="Times New Roman"/>
                <w:b/>
                <w:color w:val="000000"/>
              </w:rPr>
              <w:t>Bursa Malaysia</w:t>
            </w:r>
          </w:p>
        </w:tc>
        <w:tc>
          <w:tcPr>
            <w:tcW w:w="1335"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sidRPr="00B34BE6">
              <w:rPr>
                <w:rFonts w:ascii="Times New Roman" w:eastAsia="Times New Roman" w:hAnsi="Times New Roman" w:cs="Times New Roman"/>
                <w:color w:val="000000"/>
              </w:rPr>
              <w:t>All</w:t>
            </w:r>
          </w:p>
        </w:tc>
        <w:tc>
          <w:tcPr>
            <w:tcW w:w="1320"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High c</w:t>
            </w:r>
            <w:r w:rsidRPr="00B34BE6">
              <w:rPr>
                <w:rFonts w:ascii="Times New Roman" w:eastAsia="Times New Roman" w:hAnsi="Times New Roman" w:cs="Times New Roman"/>
                <w:color w:val="000000"/>
              </w:rPr>
              <w:t>ash</w:t>
            </w:r>
          </w:p>
        </w:tc>
        <w:tc>
          <w:tcPr>
            <w:tcW w:w="1383" w:type="pct"/>
            <w:gridSpan w:val="2"/>
            <w:tcBorders>
              <w:top w:val="single" w:sz="4" w:space="0" w:color="auto"/>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Low c</w:t>
            </w:r>
            <w:r w:rsidRPr="00B34BE6">
              <w:rPr>
                <w:rFonts w:ascii="Times New Roman" w:eastAsia="Times New Roman" w:hAnsi="Times New Roman" w:cs="Times New Roman"/>
                <w:color w:val="000000"/>
              </w:rPr>
              <w:t>ash</w:t>
            </w:r>
          </w:p>
        </w:tc>
      </w:tr>
      <w:tr w:rsidR="004116D4" w:rsidRPr="00B34BE6" w:rsidTr="006E635A">
        <w:trPr>
          <w:trHeight w:val="300"/>
        </w:trPr>
        <w:tc>
          <w:tcPr>
            <w:tcW w:w="962"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Variable</w:t>
            </w:r>
          </w:p>
        </w:tc>
        <w:tc>
          <w:tcPr>
            <w:tcW w:w="692"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643"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c>
          <w:tcPr>
            <w:tcW w:w="62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70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c>
          <w:tcPr>
            <w:tcW w:w="646"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Mean</w:t>
            </w:r>
          </w:p>
        </w:tc>
        <w:tc>
          <w:tcPr>
            <w:tcW w:w="737"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Std. d</w:t>
            </w:r>
            <w:r w:rsidRPr="00B34BE6">
              <w:rPr>
                <w:rFonts w:ascii="Times New Roman" w:eastAsia="Times New Roman" w:hAnsi="Times New Roman" w:cs="Times New Roman"/>
                <w:color w:val="000000"/>
              </w:rPr>
              <w:t>ev.</w:t>
            </w:r>
          </w:p>
        </w:tc>
      </w:tr>
      <w:tr w:rsidR="004116D4" w:rsidRPr="00B34BE6" w:rsidTr="006E635A">
        <w:trPr>
          <w:trHeight w:val="58"/>
        </w:trPr>
        <w:tc>
          <w:tcPr>
            <w:tcW w:w="96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Cash r</w:t>
            </w:r>
            <w:r w:rsidRPr="00B34BE6">
              <w:rPr>
                <w:rFonts w:ascii="Times New Roman" w:eastAsia="Times New Roman" w:hAnsi="Times New Roman" w:cs="Times New Roman"/>
                <w:color w:val="000000"/>
              </w:rPr>
              <w:t>atio</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0.1273</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0.1313</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0.3470</w:t>
            </w: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0.1728</w:t>
            </w: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0.1015</w:t>
            </w: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0.0971</w:t>
            </w: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Repayment ability</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8.2508</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19.8297</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14.8846</w:t>
            </w: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28.2104</w:t>
            </w: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7.8121</w:t>
            </w: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19.0697</w:t>
            </w: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Liquidit</w:t>
            </w:r>
            <w:r>
              <w:rPr>
                <w:rFonts w:ascii="Times New Roman" w:eastAsia="Times New Roman" w:hAnsi="Times New Roman" w:cs="Times New Roman"/>
                <w:color w:val="000000"/>
              </w:rPr>
              <w:t>y factor</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2.2798</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1.8595</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3.8944</w:t>
            </w: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2.3490</w:t>
            </w: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2.1165</w:t>
            </w: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1.7205</w:t>
            </w: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Solvency factor</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13.6371</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17.8790</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16.6535</w:t>
            </w: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21.2195</w:t>
            </w: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13.4472</w:t>
            </w: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17.6335</w:t>
            </w: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Currency r</w:t>
            </w:r>
            <w:r w:rsidRPr="00B34BE6">
              <w:rPr>
                <w:rFonts w:ascii="Times New Roman" w:eastAsia="Times New Roman" w:hAnsi="Times New Roman" w:cs="Times New Roman"/>
                <w:color w:val="000000"/>
              </w:rPr>
              <w:t>isk</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0.0116</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0.0102</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62" w:type="pct"/>
            <w:tcBorders>
              <w:top w:val="nil"/>
              <w:left w:val="nil"/>
              <w:bottom w:val="nil"/>
              <w:right w:val="nil"/>
            </w:tcBorders>
            <w:shd w:val="clear" w:color="auto" w:fill="auto"/>
            <w:noWrap/>
            <w:vAlign w:val="center"/>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Inflation r</w:t>
            </w:r>
            <w:r w:rsidRPr="00B34BE6">
              <w:rPr>
                <w:rFonts w:ascii="Times New Roman" w:eastAsia="Times New Roman" w:hAnsi="Times New Roman" w:cs="Times New Roman"/>
                <w:color w:val="000000"/>
              </w:rPr>
              <w:t>isk</w:t>
            </w:r>
          </w:p>
        </w:tc>
        <w:tc>
          <w:tcPr>
            <w:tcW w:w="692"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0.0030</w:t>
            </w:r>
          </w:p>
        </w:tc>
        <w:tc>
          <w:tcPr>
            <w:tcW w:w="643"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r w:rsidRPr="00B34BE6">
              <w:rPr>
                <w:rFonts w:ascii="Times New Roman" w:eastAsia="Times New Roman" w:hAnsi="Times New Roman" w:cs="Times New Roman"/>
                <w:color w:val="000000"/>
              </w:rPr>
              <w:t>0.0031</w:t>
            </w:r>
          </w:p>
        </w:tc>
        <w:tc>
          <w:tcPr>
            <w:tcW w:w="62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00"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646"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noWrap/>
            <w:vAlign w:val="bottom"/>
            <w:hideMark/>
          </w:tcPr>
          <w:p w:rsidR="004116D4" w:rsidRPr="00B34BE6" w:rsidRDefault="004116D4" w:rsidP="006E635A">
            <w:pPr>
              <w:tabs>
                <w:tab w:val="left" w:pos="810"/>
              </w:tabs>
              <w:spacing w:after="0" w:line="240" w:lineRule="auto"/>
              <w:jc w:val="right"/>
              <w:rPr>
                <w:rFonts w:ascii="Times New Roman" w:eastAsia="Times New Roman" w:hAnsi="Times New Roman" w:cs="Times New Roman"/>
                <w:color w:val="000000"/>
              </w:rPr>
            </w:pPr>
          </w:p>
        </w:tc>
      </w:tr>
      <w:tr w:rsidR="004116D4" w:rsidRPr="00B34BE6" w:rsidTr="006E635A">
        <w:trPr>
          <w:trHeight w:val="300"/>
        </w:trPr>
        <w:tc>
          <w:tcPr>
            <w:tcW w:w="962"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92"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43"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2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700"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646"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c>
          <w:tcPr>
            <w:tcW w:w="737" w:type="pct"/>
            <w:tcBorders>
              <w:top w:val="nil"/>
              <w:left w:val="nil"/>
              <w:bottom w:val="single" w:sz="4" w:space="0" w:color="auto"/>
              <w:right w:val="nil"/>
            </w:tcBorders>
            <w:shd w:val="clear" w:color="auto" w:fill="auto"/>
            <w:noWrap/>
            <w:vAlign w:val="bottom"/>
            <w:hideMark/>
          </w:tcPr>
          <w:p w:rsidR="004116D4" w:rsidRPr="00B34BE6" w:rsidRDefault="004116D4" w:rsidP="006E635A">
            <w:pPr>
              <w:tabs>
                <w:tab w:val="left" w:pos="810"/>
              </w:tabs>
              <w:spacing w:after="0" w:line="240" w:lineRule="auto"/>
              <w:rPr>
                <w:rFonts w:ascii="Times New Roman" w:eastAsia="Times New Roman" w:hAnsi="Times New Roman" w:cs="Times New Roman"/>
                <w:color w:val="000000"/>
              </w:rPr>
            </w:pPr>
            <w:r w:rsidRPr="00B34BE6">
              <w:rPr>
                <w:rFonts w:ascii="Times New Roman" w:eastAsia="Times New Roman" w:hAnsi="Times New Roman" w:cs="Times New Roman"/>
                <w:color w:val="000000"/>
              </w:rPr>
              <w:t> </w:t>
            </w:r>
          </w:p>
        </w:tc>
      </w:tr>
    </w:tbl>
    <w:p w:rsidR="004116D4" w:rsidRPr="00143769" w:rsidRDefault="004116D4" w:rsidP="00884770">
      <w:pPr>
        <w:tabs>
          <w:tab w:val="left" w:pos="810"/>
        </w:tabs>
        <w:spacing w:line="240" w:lineRule="auto"/>
        <w:jc w:val="both"/>
        <w:rPr>
          <w:rFonts w:ascii="Times New Roman" w:hAnsi="Times New Roman" w:cs="Times New Roman"/>
        </w:rPr>
      </w:pPr>
      <w:r w:rsidRPr="00B34BE6">
        <w:rPr>
          <w:rFonts w:ascii="Times New Roman" w:hAnsi="Times New Roman" w:cs="Times New Roman"/>
        </w:rPr>
        <w:t xml:space="preserve">Source: </w:t>
      </w:r>
      <w:proofErr w:type="spellStart"/>
      <w:r w:rsidRPr="00B34BE6">
        <w:rPr>
          <w:rFonts w:ascii="Times New Roman" w:hAnsi="Times New Roman" w:cs="Times New Roman"/>
        </w:rPr>
        <w:t>Datastream</w:t>
      </w:r>
      <w:proofErr w:type="spellEnd"/>
    </w:p>
    <w:p w:rsidR="004116D4" w:rsidRPr="00E4170A" w:rsidRDefault="004116D4" w:rsidP="00EF351B">
      <w:pPr>
        <w:tabs>
          <w:tab w:val="left" w:pos="810"/>
        </w:tabs>
        <w:spacing w:line="480" w:lineRule="auto"/>
        <w:ind w:firstLine="720"/>
        <w:jc w:val="both"/>
        <w:rPr>
          <w:rFonts w:ascii="Times New Roman" w:hAnsi="Times New Roman" w:cs="Times New Roman"/>
          <w:sz w:val="24"/>
          <w:szCs w:val="24"/>
        </w:rPr>
      </w:pPr>
      <w:r w:rsidRPr="00E01ABD">
        <w:rPr>
          <w:rFonts w:ascii="Times New Roman" w:hAnsi="Times New Roman" w:cs="Times New Roman"/>
          <w:sz w:val="24"/>
          <w:szCs w:val="24"/>
        </w:rPr>
        <w:t xml:space="preserve">Liquidity and solvency factors correspond to the liquidity conditions and financial health of firms in both short and long terms. Liquidity </w:t>
      </w:r>
      <w:r w:rsidRPr="00E01ABD">
        <w:rPr>
          <w:rFonts w:ascii="Times New Roman" w:hAnsi="Times New Roman" w:cs="Times New Roman" w:hint="eastAsia"/>
          <w:sz w:val="24"/>
          <w:szCs w:val="24"/>
        </w:rPr>
        <w:t>factor</w:t>
      </w:r>
      <w:r w:rsidRPr="00E01ABD">
        <w:rPr>
          <w:rFonts w:ascii="Times New Roman" w:hAnsi="Times New Roman" w:cs="Times New Roman"/>
          <w:sz w:val="24"/>
          <w:szCs w:val="24"/>
        </w:rPr>
        <w:t xml:space="preserve"> refers to the </w:t>
      </w:r>
      <w:r w:rsidRPr="00E01ABD">
        <w:rPr>
          <w:rFonts w:ascii="Times New Roman" w:hAnsi="Times New Roman" w:cs="Times New Roman" w:hint="eastAsia"/>
          <w:sz w:val="24"/>
          <w:szCs w:val="24"/>
        </w:rPr>
        <w:t xml:space="preserve">probability </w:t>
      </w:r>
      <w:r w:rsidRPr="00E01ABD">
        <w:rPr>
          <w:rFonts w:ascii="Times New Roman" w:hAnsi="Times New Roman" w:cs="Times New Roman"/>
          <w:sz w:val="24"/>
          <w:szCs w:val="24"/>
        </w:rPr>
        <w:t>of facing losses</w:t>
      </w:r>
      <w:r>
        <w:rPr>
          <w:rFonts w:ascii="Times New Roman" w:hAnsi="Times New Roman" w:cs="Times New Roman"/>
          <w:sz w:val="24"/>
          <w:szCs w:val="24"/>
        </w:rPr>
        <w:t xml:space="preserve"> when</w:t>
      </w:r>
      <w:r w:rsidRPr="00EE7FE5">
        <w:rPr>
          <w:rFonts w:ascii="Times New Roman" w:hAnsi="Times New Roman" w:cs="Times New Roman"/>
          <w:sz w:val="24"/>
          <w:szCs w:val="24"/>
        </w:rPr>
        <w:t xml:space="preserve"> </w:t>
      </w:r>
      <w:r>
        <w:rPr>
          <w:rFonts w:ascii="Times New Roman" w:hAnsi="Times New Roman" w:cs="Times New Roman"/>
          <w:sz w:val="24"/>
          <w:szCs w:val="24"/>
        </w:rPr>
        <w:t xml:space="preserve">disposing of or selling </w:t>
      </w:r>
      <w:r w:rsidRPr="00EE7FE5">
        <w:rPr>
          <w:rFonts w:ascii="Times New Roman" w:hAnsi="Times New Roman" w:cs="Times New Roman"/>
          <w:sz w:val="24"/>
          <w:szCs w:val="24"/>
        </w:rPr>
        <w:t>assets</w:t>
      </w:r>
      <w:r>
        <w:rPr>
          <w:rFonts w:ascii="Times New Roman" w:hAnsi="Times New Roman" w:cs="Times New Roman"/>
          <w:sz w:val="24"/>
          <w:szCs w:val="24"/>
        </w:rPr>
        <w:t xml:space="preserve"> to meet short-term obligations</w:t>
      </w:r>
      <w:r w:rsidRPr="00EE7FE5">
        <w:rPr>
          <w:rFonts w:ascii="Times New Roman" w:hAnsi="Times New Roman" w:cs="Times New Roman"/>
          <w:sz w:val="24"/>
          <w:szCs w:val="24"/>
        </w:rPr>
        <w:t xml:space="preserve">. </w:t>
      </w:r>
      <w:r>
        <w:rPr>
          <w:rFonts w:ascii="Times New Roman" w:hAnsi="Times New Roman" w:cs="Times New Roman"/>
          <w:sz w:val="24"/>
          <w:szCs w:val="24"/>
        </w:rPr>
        <w:t>Highly liquid assets can be sold easily and with little loss at no additional cost and with minimal chance</w:t>
      </w:r>
      <w:r>
        <w:rPr>
          <w:rFonts w:ascii="Times New Roman" w:hAnsi="Times New Roman" w:cs="Times New Roman" w:hint="eastAsia"/>
          <w:sz w:val="24"/>
          <w:szCs w:val="24"/>
        </w:rPr>
        <w:t xml:space="preserve"> of il</w:t>
      </w:r>
      <w:r>
        <w:rPr>
          <w:rFonts w:ascii="Times New Roman" w:hAnsi="Times New Roman" w:cs="Times New Roman"/>
          <w:sz w:val="24"/>
          <w:szCs w:val="24"/>
        </w:rPr>
        <w:t xml:space="preserve">liquidity. Besides, the </w:t>
      </w:r>
      <w:r w:rsidRPr="00EE7FE5">
        <w:rPr>
          <w:rFonts w:ascii="Times New Roman" w:hAnsi="Times New Roman" w:cs="Times New Roman"/>
          <w:sz w:val="24"/>
          <w:szCs w:val="24"/>
        </w:rPr>
        <w:t>management of funding sources and the overall monitoring of market conditions</w:t>
      </w:r>
      <w:r>
        <w:rPr>
          <w:rFonts w:ascii="Times New Roman" w:hAnsi="Times New Roman" w:cs="Times New Roman"/>
          <w:sz w:val="24"/>
          <w:szCs w:val="24"/>
        </w:rPr>
        <w:t xml:space="preserve"> also play an important role in</w:t>
      </w:r>
      <w:r w:rsidRPr="00EE7FE5">
        <w:rPr>
          <w:rFonts w:ascii="Times New Roman" w:hAnsi="Times New Roman" w:cs="Times New Roman"/>
          <w:sz w:val="24"/>
          <w:szCs w:val="24"/>
        </w:rPr>
        <w:t xml:space="preserve"> affect</w:t>
      </w:r>
      <w:r>
        <w:rPr>
          <w:rFonts w:ascii="Times New Roman" w:hAnsi="Times New Roman" w:cs="Times New Roman"/>
          <w:sz w:val="24"/>
          <w:szCs w:val="24"/>
        </w:rPr>
        <w:t>ing</w:t>
      </w:r>
      <w:r w:rsidRPr="00EE7FE5">
        <w:rPr>
          <w:rFonts w:ascii="Times New Roman" w:hAnsi="Times New Roman" w:cs="Times New Roman"/>
          <w:sz w:val="24"/>
          <w:szCs w:val="24"/>
        </w:rPr>
        <w:t xml:space="preserve"> the ability to liquidate the assets of the firm</w:t>
      </w:r>
      <w:r>
        <w:rPr>
          <w:rFonts w:ascii="Times New Roman" w:hAnsi="Times New Roman" w:cs="Times New Roman"/>
          <w:sz w:val="24"/>
          <w:szCs w:val="24"/>
        </w:rPr>
        <w:t>s</w:t>
      </w:r>
      <w:r w:rsidRPr="00EE7FE5">
        <w:rPr>
          <w:rFonts w:ascii="Times New Roman" w:hAnsi="Times New Roman" w:cs="Times New Roman"/>
          <w:sz w:val="24"/>
          <w:szCs w:val="24"/>
        </w:rPr>
        <w:t xml:space="preserve"> with </w:t>
      </w:r>
      <w:r>
        <w:rPr>
          <w:rFonts w:ascii="Times New Roman" w:hAnsi="Times New Roman" w:cs="Times New Roman"/>
          <w:sz w:val="24"/>
          <w:szCs w:val="24"/>
        </w:rPr>
        <w:t>good value</w:t>
      </w:r>
      <w:r w:rsidRPr="00EE7FE5">
        <w:rPr>
          <w:rFonts w:ascii="Times New Roman" w:hAnsi="Times New Roman" w:cs="Times New Roman"/>
          <w:sz w:val="24"/>
          <w:szCs w:val="24"/>
        </w:rPr>
        <w:t xml:space="preserve">. </w:t>
      </w:r>
      <w:r>
        <w:rPr>
          <w:rFonts w:ascii="Times New Roman" w:hAnsi="Times New Roman" w:cs="Times New Roman"/>
          <w:sz w:val="24"/>
          <w:szCs w:val="24"/>
        </w:rPr>
        <w:t>Too little cash forces the firms</w:t>
      </w:r>
      <w:r w:rsidRPr="003E53E8">
        <w:rPr>
          <w:rFonts w:ascii="Times New Roman" w:hAnsi="Times New Roman" w:cs="Times New Roman"/>
          <w:sz w:val="24"/>
          <w:szCs w:val="24"/>
        </w:rPr>
        <w:t xml:space="preserve"> to liquidat</w:t>
      </w:r>
      <w:r>
        <w:rPr>
          <w:rFonts w:ascii="Times New Roman" w:hAnsi="Times New Roman" w:cs="Times New Roman"/>
          <w:sz w:val="24"/>
          <w:szCs w:val="24"/>
        </w:rPr>
        <w:t xml:space="preserve">e </w:t>
      </w:r>
      <w:r w:rsidRPr="003E53E8">
        <w:rPr>
          <w:rFonts w:ascii="Times New Roman" w:hAnsi="Times New Roman" w:cs="Times New Roman"/>
          <w:sz w:val="24"/>
          <w:szCs w:val="24"/>
        </w:rPr>
        <w:t>productive assets</w:t>
      </w:r>
      <w:r>
        <w:rPr>
          <w:rFonts w:ascii="Times New Roman" w:hAnsi="Times New Roman" w:cs="Times New Roman"/>
          <w:sz w:val="24"/>
          <w:szCs w:val="24"/>
        </w:rPr>
        <w:t xml:space="preserve">; </w:t>
      </w:r>
      <w:r w:rsidRPr="003E53E8">
        <w:rPr>
          <w:rFonts w:ascii="Times New Roman" w:hAnsi="Times New Roman" w:cs="Times New Roman"/>
          <w:sz w:val="24"/>
          <w:szCs w:val="24"/>
        </w:rPr>
        <w:t xml:space="preserve">holding too much cash </w:t>
      </w:r>
      <w:r>
        <w:rPr>
          <w:rFonts w:ascii="Times New Roman" w:hAnsi="Times New Roman" w:cs="Times New Roman"/>
          <w:sz w:val="24"/>
          <w:szCs w:val="24"/>
        </w:rPr>
        <w:t>will reduce</w:t>
      </w:r>
      <w:r w:rsidRPr="00D27806">
        <w:rPr>
          <w:rFonts w:ascii="Times New Roman" w:hAnsi="Times New Roman" w:cs="Times New Roman"/>
          <w:sz w:val="24"/>
          <w:szCs w:val="24"/>
        </w:rPr>
        <w:t xml:space="preserve"> </w:t>
      </w:r>
      <w:r w:rsidRPr="003E53E8">
        <w:rPr>
          <w:rFonts w:ascii="Times New Roman" w:hAnsi="Times New Roman" w:cs="Times New Roman"/>
          <w:sz w:val="24"/>
          <w:szCs w:val="24"/>
        </w:rPr>
        <w:t>profitability</w:t>
      </w:r>
      <w:r>
        <w:rPr>
          <w:rFonts w:ascii="Times New Roman" w:hAnsi="Times New Roman" w:cs="Times New Roman"/>
          <w:sz w:val="24"/>
          <w:szCs w:val="24"/>
        </w:rPr>
        <w:t>. Long-term solvency factor</w:t>
      </w:r>
      <w:r w:rsidRPr="003E53E8">
        <w:rPr>
          <w:rFonts w:ascii="Times New Roman" w:hAnsi="Times New Roman" w:cs="Times New Roman"/>
          <w:sz w:val="24"/>
          <w:szCs w:val="24"/>
        </w:rPr>
        <w:t xml:space="preserve"> </w:t>
      </w:r>
      <w:r>
        <w:rPr>
          <w:rFonts w:ascii="Times New Roman" w:hAnsi="Times New Roman" w:cs="Times New Roman"/>
          <w:sz w:val="24"/>
          <w:szCs w:val="24"/>
        </w:rPr>
        <w:t>concerns are not affected by external funding costs; therefore cash holdings become moderately unimportant</w:t>
      </w:r>
      <w:r w:rsidRPr="003E53E8">
        <w:rPr>
          <w:rFonts w:ascii="Times New Roman" w:hAnsi="Times New Roman" w:cs="Times New Roman"/>
          <w:sz w:val="24"/>
          <w:szCs w:val="24"/>
        </w:rPr>
        <w:t>.</w:t>
      </w:r>
      <w:r>
        <w:rPr>
          <w:rFonts w:ascii="Times New Roman" w:hAnsi="Times New Roman" w:cs="Times New Roman"/>
          <w:sz w:val="24"/>
          <w:szCs w:val="24"/>
        </w:rPr>
        <w:t xml:space="preserve"> Firms will turn insolvent as they fail to</w:t>
      </w:r>
      <w:r w:rsidRPr="00EE7FE5">
        <w:rPr>
          <w:rFonts w:ascii="Times New Roman" w:hAnsi="Times New Roman" w:cs="Times New Roman"/>
          <w:sz w:val="24"/>
          <w:szCs w:val="24"/>
        </w:rPr>
        <w:t xml:space="preserve"> meet maturing obligations </w:t>
      </w:r>
      <w:r>
        <w:rPr>
          <w:rFonts w:ascii="Times New Roman" w:hAnsi="Times New Roman" w:cs="Times New Roman"/>
          <w:sz w:val="24"/>
          <w:szCs w:val="24"/>
        </w:rPr>
        <w:t>on the due dates of long-term obligations</w:t>
      </w:r>
      <w:r w:rsidRPr="00EE7FE5">
        <w:rPr>
          <w:rFonts w:ascii="Times New Roman" w:hAnsi="Times New Roman" w:cs="Times New Roman"/>
          <w:sz w:val="24"/>
          <w:szCs w:val="24"/>
        </w:rPr>
        <w:t xml:space="preserve"> </w:t>
      </w:r>
      <w:r>
        <w:rPr>
          <w:rFonts w:ascii="Times New Roman" w:hAnsi="Times New Roman" w:cs="Times New Roman"/>
          <w:sz w:val="24"/>
          <w:szCs w:val="24"/>
        </w:rPr>
        <w:t>(</w:t>
      </w:r>
      <w:r w:rsidRPr="00EE7FE5">
        <w:rPr>
          <w:rFonts w:ascii="Times New Roman" w:hAnsi="Times New Roman" w:cs="Times New Roman"/>
          <w:sz w:val="24"/>
          <w:szCs w:val="24"/>
        </w:rPr>
        <w:t xml:space="preserve">after disposal </w:t>
      </w:r>
      <w:r>
        <w:rPr>
          <w:rFonts w:ascii="Times New Roman" w:hAnsi="Times New Roman" w:cs="Times New Roman"/>
          <w:sz w:val="24"/>
          <w:szCs w:val="24"/>
        </w:rPr>
        <w:t>of their</w:t>
      </w:r>
      <w:r w:rsidRPr="00EE7FE5">
        <w:rPr>
          <w:rFonts w:ascii="Times New Roman" w:hAnsi="Times New Roman" w:cs="Times New Roman"/>
          <w:sz w:val="24"/>
          <w:szCs w:val="24"/>
        </w:rPr>
        <w:t xml:space="preserve"> assets</w:t>
      </w:r>
      <w:r>
        <w:rPr>
          <w:rFonts w:ascii="Times New Roman" w:hAnsi="Times New Roman" w:cs="Times New Roman"/>
          <w:sz w:val="24"/>
          <w:szCs w:val="24"/>
        </w:rPr>
        <w:t>)</w:t>
      </w:r>
      <w:r w:rsidRPr="00EE7FE5">
        <w:rPr>
          <w:rFonts w:ascii="Times New Roman" w:hAnsi="Times New Roman" w:cs="Times New Roman"/>
          <w:sz w:val="24"/>
          <w:szCs w:val="24"/>
        </w:rPr>
        <w:t>.</w:t>
      </w:r>
      <w:r>
        <w:rPr>
          <w:rFonts w:ascii="Times New Roman" w:hAnsi="Times New Roman" w:cs="Times New Roman"/>
          <w:sz w:val="24"/>
          <w:szCs w:val="24"/>
        </w:rPr>
        <w:t xml:space="preserve"> Since cash holdings are the most liquid assets in the short term, it is expected that the </w:t>
      </w:r>
      <w:r>
        <w:rPr>
          <w:rFonts w:ascii="Times New Roman" w:hAnsi="Times New Roman" w:cs="Times New Roman"/>
          <w:sz w:val="24"/>
          <w:szCs w:val="24"/>
        </w:rPr>
        <w:lastRenderedPageBreak/>
        <w:t>liquidity factor is significant in explaining the ratio of cash that a firm holds. But, the relationship between solvency factor and cash ratios is perceived to be weaker or not significant. These two financial ratios are lower for the listed firms in KOSE, which eventually portray the weakness of these firms in terms of liquidity and solvency management.</w:t>
      </w:r>
    </w:p>
    <w:p w:rsidR="00587D2F" w:rsidRPr="00B34BE6" w:rsidRDefault="004116D4" w:rsidP="00884770">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Financial risk and r</w:t>
      </w:r>
      <w:r w:rsidRPr="00FC0EA3">
        <w:rPr>
          <w:rFonts w:ascii="Times New Roman" w:hAnsi="Times New Roman" w:cs="Times New Roman"/>
          <w:sz w:val="24"/>
          <w:szCs w:val="24"/>
        </w:rPr>
        <w:t>isk factor</w:t>
      </w:r>
      <w:r>
        <w:rPr>
          <w:rFonts w:ascii="Times New Roman" w:hAnsi="Times New Roman" w:cs="Times New Roman"/>
          <w:sz w:val="24"/>
          <w:szCs w:val="24"/>
        </w:rPr>
        <w:t xml:space="preserve"> trends</w:t>
      </w:r>
      <w:r w:rsidRPr="00FC0EA3">
        <w:rPr>
          <w:rFonts w:ascii="Times New Roman" w:hAnsi="Times New Roman" w:cs="Times New Roman"/>
          <w:sz w:val="24"/>
          <w:szCs w:val="24"/>
        </w:rPr>
        <w:t xml:space="preserve"> of </w:t>
      </w:r>
      <w:r>
        <w:rPr>
          <w:rFonts w:ascii="Times New Roman" w:hAnsi="Times New Roman" w:cs="Times New Roman"/>
          <w:sz w:val="24"/>
          <w:szCs w:val="24"/>
        </w:rPr>
        <w:t>low cash holding firms</w:t>
      </w:r>
      <w:r w:rsidRPr="007935D3">
        <w:rPr>
          <w:rFonts w:ascii="Times New Roman" w:hAnsi="Times New Roman" w:cs="Times New Roman"/>
          <w:sz w:val="24"/>
          <w:szCs w:val="24"/>
        </w:rPr>
        <w:t xml:space="preserve"> </w:t>
      </w:r>
      <w:r w:rsidRPr="00FC0EA3">
        <w:rPr>
          <w:rFonts w:ascii="Times New Roman" w:hAnsi="Times New Roman" w:cs="Times New Roman"/>
          <w:sz w:val="24"/>
          <w:szCs w:val="24"/>
        </w:rPr>
        <w:t xml:space="preserve">and </w:t>
      </w:r>
      <w:r>
        <w:rPr>
          <w:rFonts w:ascii="Times New Roman" w:hAnsi="Times New Roman" w:cs="Times New Roman"/>
          <w:sz w:val="24"/>
          <w:szCs w:val="24"/>
        </w:rPr>
        <w:t>high cash holding firms</w:t>
      </w:r>
      <w:r w:rsidRPr="00FC0EA3">
        <w:rPr>
          <w:rFonts w:ascii="Times New Roman" w:hAnsi="Times New Roman" w:cs="Times New Roman"/>
          <w:sz w:val="24"/>
          <w:szCs w:val="24"/>
        </w:rPr>
        <w:t xml:space="preserve"> are similar for </w:t>
      </w:r>
      <w:r>
        <w:rPr>
          <w:rFonts w:ascii="Times New Roman" w:hAnsi="Times New Roman" w:cs="Times New Roman"/>
          <w:sz w:val="24"/>
          <w:szCs w:val="24"/>
        </w:rPr>
        <w:t>both</w:t>
      </w:r>
      <w:r w:rsidRPr="00FC0EA3">
        <w:rPr>
          <w:rFonts w:ascii="Times New Roman" w:hAnsi="Times New Roman" w:cs="Times New Roman"/>
          <w:sz w:val="24"/>
          <w:szCs w:val="24"/>
        </w:rPr>
        <w:t xml:space="preserve"> stock exchanges. </w:t>
      </w:r>
      <w:r>
        <w:rPr>
          <w:rFonts w:ascii="Times New Roman" w:hAnsi="Times New Roman" w:cs="Times New Roman"/>
          <w:sz w:val="24"/>
          <w:szCs w:val="24"/>
        </w:rPr>
        <w:t>High cash holding firms</w:t>
      </w:r>
      <w:r w:rsidRPr="00FC0EA3">
        <w:rPr>
          <w:rFonts w:ascii="Times New Roman" w:hAnsi="Times New Roman" w:cs="Times New Roman"/>
          <w:sz w:val="24"/>
          <w:szCs w:val="24"/>
        </w:rPr>
        <w:t xml:space="preserve"> experience</w:t>
      </w:r>
      <w:r>
        <w:rPr>
          <w:rFonts w:ascii="Times New Roman" w:hAnsi="Times New Roman" w:cs="Times New Roman"/>
          <w:sz w:val="24"/>
          <w:szCs w:val="24"/>
        </w:rPr>
        <w:t xml:space="preserve"> </w:t>
      </w:r>
      <w:r w:rsidRPr="00FC0EA3">
        <w:rPr>
          <w:rFonts w:ascii="Times New Roman" w:hAnsi="Times New Roman" w:cs="Times New Roman"/>
          <w:sz w:val="24"/>
          <w:szCs w:val="24"/>
        </w:rPr>
        <w:t>higher mean</w:t>
      </w:r>
      <w:r>
        <w:rPr>
          <w:rFonts w:ascii="Times New Roman" w:hAnsi="Times New Roman" w:cs="Times New Roman"/>
          <w:sz w:val="24"/>
          <w:szCs w:val="24"/>
        </w:rPr>
        <w:t>s of all variables</w:t>
      </w:r>
      <w:r w:rsidRPr="00FC0EA3">
        <w:rPr>
          <w:rFonts w:ascii="Times New Roman" w:hAnsi="Times New Roman" w:cs="Times New Roman"/>
          <w:sz w:val="24"/>
          <w:szCs w:val="24"/>
        </w:rPr>
        <w:t xml:space="preserve">. Overall, the </w:t>
      </w:r>
      <w:r>
        <w:rPr>
          <w:rFonts w:ascii="Times New Roman" w:hAnsi="Times New Roman" w:cs="Times New Roman"/>
          <w:sz w:val="24"/>
          <w:szCs w:val="24"/>
        </w:rPr>
        <w:t xml:space="preserve">status of financial ratios and </w:t>
      </w:r>
      <w:r w:rsidRPr="00FC0EA3">
        <w:rPr>
          <w:rFonts w:ascii="Times New Roman" w:hAnsi="Times New Roman" w:cs="Times New Roman"/>
          <w:sz w:val="24"/>
          <w:szCs w:val="24"/>
        </w:rPr>
        <w:t>higher risk factors might be the key motive to encourage firms</w:t>
      </w:r>
      <w:r>
        <w:rPr>
          <w:rFonts w:ascii="Times New Roman" w:hAnsi="Times New Roman" w:cs="Times New Roman"/>
          <w:sz w:val="24"/>
          <w:szCs w:val="24"/>
        </w:rPr>
        <w:t xml:space="preserve"> to</w:t>
      </w:r>
      <w:r w:rsidRPr="00FC0EA3">
        <w:rPr>
          <w:rFonts w:ascii="Times New Roman" w:hAnsi="Times New Roman" w:cs="Times New Roman"/>
          <w:sz w:val="24"/>
          <w:szCs w:val="24"/>
        </w:rPr>
        <w:t xml:space="preserve"> hold more cash</w:t>
      </w:r>
      <w:r>
        <w:rPr>
          <w:rFonts w:ascii="Times New Roman" w:hAnsi="Times New Roman" w:cs="Times New Roman"/>
          <w:sz w:val="24"/>
          <w:szCs w:val="24"/>
        </w:rPr>
        <w:t xml:space="preserve"> in order to have sufficient liquidity and flexibility to overcome the uncertainties of the future</w:t>
      </w:r>
      <w:r w:rsidRPr="00FC0EA3">
        <w:rPr>
          <w:rFonts w:ascii="Times New Roman" w:hAnsi="Times New Roman" w:cs="Times New Roman"/>
          <w:sz w:val="24"/>
          <w:szCs w:val="24"/>
        </w:rPr>
        <w:t xml:space="preserve">. </w:t>
      </w:r>
    </w:p>
    <w:p w:rsidR="004116D4" w:rsidRPr="00587D2F" w:rsidRDefault="004116D4" w:rsidP="00EF351B">
      <w:pPr>
        <w:pStyle w:val="ListParagraph"/>
        <w:numPr>
          <w:ilvl w:val="0"/>
          <w:numId w:val="28"/>
        </w:numPr>
        <w:tabs>
          <w:tab w:val="left" w:pos="810"/>
        </w:tabs>
        <w:spacing w:line="480" w:lineRule="auto"/>
        <w:jc w:val="both"/>
        <w:rPr>
          <w:rFonts w:ascii="Times New Roman" w:hAnsi="Times New Roman" w:cs="Times New Roman"/>
          <w:b/>
          <w:sz w:val="24"/>
          <w:szCs w:val="24"/>
        </w:rPr>
      </w:pPr>
      <w:r w:rsidRPr="00180A10">
        <w:rPr>
          <w:rFonts w:ascii="Times New Roman" w:hAnsi="Times New Roman" w:cs="Times New Roman"/>
          <w:b/>
          <w:sz w:val="24"/>
          <w:szCs w:val="24"/>
        </w:rPr>
        <w:t>Diagnostic Check for GMM Estimation for KOSE and Bursa Malaysia</w:t>
      </w:r>
    </w:p>
    <w:p w:rsidR="004116D4" w:rsidRDefault="00587D2F"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diagnostics that are part of the GMM in testing the appropriateness of the instruments used. The </w:t>
      </w:r>
      <w:proofErr w:type="spellStart"/>
      <w:r>
        <w:rPr>
          <w:rFonts w:ascii="Times New Roman" w:hAnsi="Times New Roman" w:cs="Times New Roman"/>
          <w:sz w:val="24"/>
          <w:szCs w:val="24"/>
        </w:rPr>
        <w:t>Sargan</w:t>
      </w:r>
      <w:proofErr w:type="spellEnd"/>
      <w:r>
        <w:rPr>
          <w:rFonts w:ascii="Times New Roman" w:hAnsi="Times New Roman" w:cs="Times New Roman"/>
          <w:sz w:val="24"/>
          <w:szCs w:val="24"/>
        </w:rPr>
        <w:t xml:space="preserve"> test is used to identify the restrictions under the null hypothesis on the validity of the instruments (Arellano et al., 1991; 2003). The test concludes with the </w:t>
      </w:r>
      <w:r w:rsidRPr="009C3085">
        <w:rPr>
          <w:rFonts w:ascii="Times New Roman" w:hAnsi="Times New Roman" w:cs="Times New Roman"/>
          <w:sz w:val="24"/>
          <w:szCs w:val="24"/>
        </w:rPr>
        <w:t xml:space="preserve">null hypothesis that </w:t>
      </w:r>
      <w:r>
        <w:rPr>
          <w:rFonts w:ascii="Times New Roman" w:hAnsi="Times New Roman" w:cs="Times New Roman"/>
          <w:sz w:val="24"/>
          <w:szCs w:val="24"/>
        </w:rPr>
        <w:t xml:space="preserve">mentions that </w:t>
      </w:r>
      <w:r w:rsidRPr="009C3085">
        <w:rPr>
          <w:rFonts w:ascii="Times New Roman" w:hAnsi="Times New Roman" w:cs="Times New Roman"/>
          <w:sz w:val="24"/>
          <w:szCs w:val="24"/>
        </w:rPr>
        <w:t>all IVs are uncorrelated</w:t>
      </w:r>
      <w:r>
        <w:rPr>
          <w:rFonts w:ascii="Times New Roman" w:hAnsi="Times New Roman" w:cs="Times New Roman"/>
          <w:sz w:val="24"/>
          <w:szCs w:val="24"/>
        </w:rPr>
        <w:t xml:space="preserve"> or that the model is not over-identifying restrictions.</w:t>
      </w:r>
      <w:r w:rsidRPr="009C3085">
        <w:rPr>
          <w:rFonts w:ascii="Times New Roman" w:hAnsi="Times New Roman" w:cs="Times New Roman"/>
          <w:sz w:val="24"/>
          <w:szCs w:val="24"/>
        </w:rPr>
        <w:t xml:space="preserve"> </w:t>
      </w:r>
      <w:r w:rsidRPr="00FB1BBE">
        <w:rPr>
          <w:rFonts w:ascii="Times New Roman" w:hAnsi="Times New Roman" w:cs="Times New Roman"/>
          <w:sz w:val="24"/>
          <w:szCs w:val="24"/>
        </w:rPr>
        <w:t xml:space="preserve">If </w:t>
      </w:r>
      <w:r>
        <w:rPr>
          <w:rFonts w:ascii="Times New Roman" w:hAnsi="Times New Roman" w:cs="Times New Roman"/>
          <w:sz w:val="24"/>
          <w:szCs w:val="24"/>
        </w:rPr>
        <w:t xml:space="preserve">the statistical value shows that there is enough evidence to </w:t>
      </w:r>
      <w:r w:rsidRPr="00FB1BBE">
        <w:rPr>
          <w:rFonts w:ascii="Times New Roman" w:hAnsi="Times New Roman" w:cs="Times New Roman"/>
          <w:sz w:val="24"/>
          <w:szCs w:val="24"/>
        </w:rPr>
        <w:t>reject the</w:t>
      </w:r>
      <w:r>
        <w:rPr>
          <w:rFonts w:ascii="Times New Roman" w:hAnsi="Times New Roman" w:cs="Times New Roman"/>
          <w:sz w:val="24"/>
          <w:szCs w:val="24"/>
        </w:rPr>
        <w:t xml:space="preserve"> null hypothesis, then </w:t>
      </w:r>
      <w:r w:rsidRPr="00FB1BBE">
        <w:rPr>
          <w:rFonts w:ascii="Times New Roman" w:hAnsi="Times New Roman" w:cs="Times New Roman"/>
          <w:sz w:val="24"/>
          <w:szCs w:val="24"/>
        </w:rPr>
        <w:t>at least some of the IVs are not exogenous.</w:t>
      </w:r>
      <w:r>
        <w:rPr>
          <w:rFonts w:ascii="Times New Roman" w:hAnsi="Times New Roman" w:cs="Times New Roman"/>
          <w:sz w:val="24"/>
          <w:szCs w:val="24"/>
        </w:rPr>
        <w:t xml:space="preserve"> In order to continue with the GMM estimations, the </w:t>
      </w:r>
      <w:proofErr w:type="spellStart"/>
      <w:r>
        <w:rPr>
          <w:rFonts w:ascii="Times New Roman" w:hAnsi="Times New Roman" w:cs="Times New Roman"/>
          <w:sz w:val="24"/>
          <w:szCs w:val="24"/>
        </w:rPr>
        <w:t>Sargan</w:t>
      </w:r>
      <w:proofErr w:type="spellEnd"/>
      <w:r>
        <w:rPr>
          <w:rFonts w:ascii="Times New Roman" w:hAnsi="Times New Roman" w:cs="Times New Roman"/>
          <w:sz w:val="24"/>
          <w:szCs w:val="24"/>
        </w:rPr>
        <w:t xml:space="preserve"> test must show that the model is not over-identifying restrictions.</w:t>
      </w:r>
    </w:p>
    <w:p w:rsidR="00884770" w:rsidRDefault="00884770" w:rsidP="00EF351B">
      <w:pPr>
        <w:tabs>
          <w:tab w:val="left" w:pos="810"/>
        </w:tabs>
        <w:spacing w:line="480" w:lineRule="auto"/>
        <w:jc w:val="both"/>
        <w:rPr>
          <w:rFonts w:ascii="Times New Roman" w:hAnsi="Times New Roman" w:cs="Times New Roman"/>
          <w:sz w:val="24"/>
          <w:szCs w:val="24"/>
        </w:rPr>
      </w:pPr>
    </w:p>
    <w:p w:rsidR="00884770" w:rsidRDefault="00884770" w:rsidP="00EF351B">
      <w:pPr>
        <w:tabs>
          <w:tab w:val="left" w:pos="810"/>
        </w:tabs>
        <w:spacing w:line="480" w:lineRule="auto"/>
        <w:jc w:val="both"/>
        <w:rPr>
          <w:rFonts w:ascii="Times New Roman" w:hAnsi="Times New Roman" w:cs="Times New Roman"/>
          <w:sz w:val="24"/>
          <w:szCs w:val="24"/>
        </w:rPr>
      </w:pPr>
    </w:p>
    <w:p w:rsidR="00884770" w:rsidRDefault="00884770" w:rsidP="00EF351B">
      <w:pPr>
        <w:tabs>
          <w:tab w:val="left" w:pos="810"/>
        </w:tabs>
        <w:spacing w:line="480" w:lineRule="auto"/>
        <w:jc w:val="both"/>
        <w:rPr>
          <w:rFonts w:ascii="Times New Roman" w:hAnsi="Times New Roman" w:cs="Times New Roman"/>
          <w:sz w:val="24"/>
          <w:szCs w:val="24"/>
        </w:rPr>
      </w:pPr>
    </w:p>
    <w:p w:rsidR="00884770" w:rsidRPr="00180A10" w:rsidRDefault="00884770" w:rsidP="00EF351B">
      <w:pPr>
        <w:tabs>
          <w:tab w:val="left" w:pos="810"/>
        </w:tabs>
        <w:spacing w:line="480" w:lineRule="auto"/>
        <w:jc w:val="both"/>
        <w:rPr>
          <w:rFonts w:ascii="Times New Roman" w:hAnsi="Times New Roman" w:cs="Times New Roman"/>
          <w:sz w:val="24"/>
          <w:szCs w:val="24"/>
        </w:rPr>
      </w:pPr>
    </w:p>
    <w:p w:rsidR="004116D4" w:rsidRPr="00884770" w:rsidRDefault="00B33312" w:rsidP="004116D4">
      <w:pPr>
        <w:tabs>
          <w:tab w:val="left" w:pos="810"/>
        </w:tabs>
        <w:spacing w:line="240" w:lineRule="auto"/>
        <w:jc w:val="center"/>
        <w:rPr>
          <w:rFonts w:ascii="Times New Roman" w:hAnsi="Times New Roman" w:cs="Times New Roman"/>
          <w:b/>
          <w:sz w:val="24"/>
          <w:szCs w:val="24"/>
        </w:rPr>
      </w:pPr>
      <w:r w:rsidRPr="00884770">
        <w:rPr>
          <w:rFonts w:ascii="Times New Roman" w:hAnsi="Times New Roman" w:cs="Times New Roman"/>
          <w:b/>
          <w:sz w:val="24"/>
          <w:szCs w:val="24"/>
        </w:rPr>
        <w:lastRenderedPageBreak/>
        <w:t>Table 2</w:t>
      </w:r>
      <w:r w:rsidR="004116D4" w:rsidRPr="00884770">
        <w:rPr>
          <w:rFonts w:ascii="Times New Roman" w:hAnsi="Times New Roman" w:cs="Times New Roman"/>
          <w:b/>
          <w:sz w:val="24"/>
          <w:szCs w:val="24"/>
        </w:rPr>
        <w:t>: GMM post-estimation diagnostic checking for KOSE and Bursa Malaysia</w:t>
      </w:r>
    </w:p>
    <w:tbl>
      <w:tblPr>
        <w:tblW w:w="5000" w:type="pct"/>
        <w:tblLook w:val="04A0" w:firstRow="1" w:lastRow="0" w:firstColumn="1" w:lastColumn="0" w:noHBand="0" w:noVBand="1"/>
      </w:tblPr>
      <w:tblGrid>
        <w:gridCol w:w="2085"/>
        <w:gridCol w:w="1662"/>
        <w:gridCol w:w="1971"/>
        <w:gridCol w:w="1927"/>
        <w:gridCol w:w="1931"/>
      </w:tblGrid>
      <w:tr w:rsidR="004116D4" w:rsidRPr="00884770" w:rsidTr="006E635A">
        <w:trPr>
          <w:trHeight w:val="71"/>
        </w:trPr>
        <w:tc>
          <w:tcPr>
            <w:tcW w:w="1956" w:type="pct"/>
            <w:gridSpan w:val="2"/>
            <w:tcBorders>
              <w:top w:val="single" w:sz="4" w:space="0" w:color="auto"/>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Variable/ model</w:t>
            </w:r>
          </w:p>
        </w:tc>
        <w:tc>
          <w:tcPr>
            <w:tcW w:w="1029" w:type="pct"/>
            <w:tcBorders>
              <w:top w:val="single" w:sz="4" w:space="0" w:color="auto"/>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proofErr w:type="spellStart"/>
            <w:r w:rsidRPr="00884770">
              <w:rPr>
                <w:rFonts w:ascii="Times New Roman" w:eastAsia="Times New Roman" w:hAnsi="Times New Roman" w:cs="Times New Roman"/>
                <w:color w:val="000000"/>
                <w:sz w:val="24"/>
                <w:szCs w:val="24"/>
              </w:rPr>
              <w:t>Sargan</w:t>
            </w:r>
            <w:proofErr w:type="spellEnd"/>
            <w:r w:rsidRPr="00884770">
              <w:rPr>
                <w:rFonts w:ascii="Times New Roman" w:eastAsia="Times New Roman" w:hAnsi="Times New Roman" w:cs="Times New Roman"/>
                <w:color w:val="000000"/>
                <w:sz w:val="24"/>
                <w:szCs w:val="24"/>
              </w:rPr>
              <w:t xml:space="preserve"> test</w:t>
            </w:r>
          </w:p>
        </w:tc>
        <w:tc>
          <w:tcPr>
            <w:tcW w:w="1006" w:type="pct"/>
            <w:tcBorders>
              <w:top w:val="single" w:sz="4" w:space="0" w:color="auto"/>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AR 1</w:t>
            </w:r>
          </w:p>
        </w:tc>
        <w:tc>
          <w:tcPr>
            <w:tcW w:w="1008" w:type="pct"/>
            <w:tcBorders>
              <w:top w:val="single" w:sz="4" w:space="0" w:color="auto"/>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AR 2</w:t>
            </w:r>
          </w:p>
        </w:tc>
      </w:tr>
      <w:tr w:rsidR="004116D4" w:rsidRPr="00884770" w:rsidTr="006E635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b/>
                <w:color w:val="000000"/>
                <w:sz w:val="24"/>
                <w:szCs w:val="24"/>
              </w:rPr>
            </w:pPr>
            <w:r w:rsidRPr="00884770">
              <w:rPr>
                <w:rFonts w:ascii="Times New Roman" w:eastAsia="Times New Roman" w:hAnsi="Times New Roman" w:cs="Times New Roman"/>
                <w:b/>
                <w:color w:val="000000"/>
                <w:sz w:val="24"/>
                <w:szCs w:val="24"/>
              </w:rPr>
              <w:t>KOSE</w:t>
            </w:r>
          </w:p>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p>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All</w:t>
            </w:r>
          </w:p>
        </w:tc>
        <w:tc>
          <w:tcPr>
            <w:tcW w:w="868"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65.0768</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-5.3324</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0.9870</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(0.1235)</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(0.3237)</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63.5036</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-5.3067</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1.0369</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(0.2887)</w:t>
            </w:r>
          </w:p>
        </w:tc>
        <w:tc>
          <w:tcPr>
            <w:tcW w:w="100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(0.2998)</w:t>
            </w:r>
          </w:p>
        </w:tc>
      </w:tr>
      <w:tr w:rsidR="004116D4" w:rsidRPr="00884770" w:rsidTr="006E635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 xml:space="preserve">High cash </w:t>
            </w:r>
          </w:p>
        </w:tc>
        <w:tc>
          <w:tcPr>
            <w:tcW w:w="868"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23.6004</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-2.5851</w:t>
            </w:r>
          </w:p>
        </w:tc>
        <w:tc>
          <w:tcPr>
            <w:tcW w:w="1008"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0.7974</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(0.8860)</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(0.0097)***</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(0.4252)</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30.8503</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-2.5316</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0.8390</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(0.9742)</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(0.0114)***</w:t>
            </w:r>
          </w:p>
        </w:tc>
        <w:tc>
          <w:tcPr>
            <w:tcW w:w="1008"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(0.4015)</w:t>
            </w:r>
          </w:p>
        </w:tc>
      </w:tr>
      <w:tr w:rsidR="004116D4" w:rsidRPr="00884770" w:rsidTr="006E635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Low cash</w:t>
            </w:r>
          </w:p>
        </w:tc>
        <w:tc>
          <w:tcPr>
            <w:tcW w:w="868"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1029"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63.3947</w:t>
            </w:r>
          </w:p>
        </w:tc>
        <w:tc>
          <w:tcPr>
            <w:tcW w:w="1006"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-6.5809</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0.3507</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(0.1553)</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(0.7259)</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1029"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63.8806</w:t>
            </w:r>
          </w:p>
        </w:tc>
        <w:tc>
          <w:tcPr>
            <w:tcW w:w="100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-6.5234</w:t>
            </w:r>
          </w:p>
        </w:tc>
        <w:tc>
          <w:tcPr>
            <w:tcW w:w="1008"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0.4049</w:t>
            </w:r>
          </w:p>
        </w:tc>
      </w:tr>
      <w:tr w:rsidR="004116D4" w:rsidRPr="00884770" w:rsidTr="006E635A">
        <w:trPr>
          <w:trHeight w:val="52"/>
        </w:trPr>
        <w:tc>
          <w:tcPr>
            <w:tcW w:w="1089"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868"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1029"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(0.2776)</w:t>
            </w:r>
          </w:p>
        </w:tc>
        <w:tc>
          <w:tcPr>
            <w:tcW w:w="100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1008"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(0.6856)</w:t>
            </w:r>
          </w:p>
        </w:tc>
      </w:tr>
    </w:tbl>
    <w:tbl>
      <w:tblPr>
        <w:tblpPr w:leftFromText="180" w:rightFromText="180" w:vertAnchor="text" w:horzAnchor="margin" w:tblpY="73"/>
        <w:tblW w:w="5000" w:type="pct"/>
        <w:tblLook w:val="04A0" w:firstRow="1" w:lastRow="0" w:firstColumn="1" w:lastColumn="0" w:noHBand="0" w:noVBand="1"/>
      </w:tblPr>
      <w:tblGrid>
        <w:gridCol w:w="2034"/>
        <w:gridCol w:w="1766"/>
        <w:gridCol w:w="1888"/>
        <w:gridCol w:w="1980"/>
        <w:gridCol w:w="1908"/>
      </w:tblGrid>
      <w:tr w:rsidR="004116D4" w:rsidRPr="00884770" w:rsidTr="006E635A">
        <w:trPr>
          <w:trHeight w:val="62"/>
        </w:trPr>
        <w:tc>
          <w:tcPr>
            <w:tcW w:w="106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b/>
                <w:color w:val="000000"/>
                <w:sz w:val="24"/>
                <w:szCs w:val="24"/>
              </w:rPr>
            </w:pPr>
            <w:r w:rsidRPr="00884770">
              <w:rPr>
                <w:rFonts w:ascii="Times New Roman" w:eastAsia="Times New Roman" w:hAnsi="Times New Roman" w:cs="Times New Roman"/>
                <w:b/>
                <w:color w:val="000000"/>
                <w:sz w:val="24"/>
                <w:szCs w:val="24"/>
              </w:rPr>
              <w:t>Bursa Malaysia</w:t>
            </w:r>
          </w:p>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p>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All</w:t>
            </w:r>
          </w:p>
        </w:tc>
        <w:tc>
          <w:tcPr>
            <w:tcW w:w="922"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69.8309</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-6.4058</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0.4916</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(0.1373)</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(0.6230)</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50.9692</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-6.2191</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0.9167</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(0.0778)</w:t>
            </w:r>
          </w:p>
        </w:tc>
        <w:tc>
          <w:tcPr>
            <w:tcW w:w="1034"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(0.3593)</w:t>
            </w:r>
          </w:p>
        </w:tc>
      </w:tr>
      <w:tr w:rsidR="004116D4" w:rsidRPr="00884770" w:rsidTr="006E635A">
        <w:trPr>
          <w:trHeight w:val="52"/>
        </w:trPr>
        <w:tc>
          <w:tcPr>
            <w:tcW w:w="106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 xml:space="preserve">High cash </w:t>
            </w:r>
          </w:p>
        </w:tc>
        <w:tc>
          <w:tcPr>
            <w:tcW w:w="922"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34.6623</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-2.0164</w:t>
            </w:r>
          </w:p>
        </w:tc>
        <w:tc>
          <w:tcPr>
            <w:tcW w:w="996"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-0.5695</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(0.3885)</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(0.0438)**</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(0.5690)</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37.9771</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-1.9844</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-0.6060</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(0.4705)</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(0.0472)**</w:t>
            </w:r>
          </w:p>
        </w:tc>
        <w:tc>
          <w:tcPr>
            <w:tcW w:w="99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(0.5445)</w:t>
            </w:r>
          </w:p>
        </w:tc>
      </w:tr>
      <w:tr w:rsidR="004116D4" w:rsidRPr="00884770" w:rsidTr="006E635A">
        <w:trPr>
          <w:trHeight w:val="52"/>
        </w:trPr>
        <w:tc>
          <w:tcPr>
            <w:tcW w:w="106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Low cash</w:t>
            </w:r>
          </w:p>
        </w:tc>
        <w:tc>
          <w:tcPr>
            <w:tcW w:w="922" w:type="pct"/>
            <w:vMerge w:val="restart"/>
            <w:tcBorders>
              <w:top w:val="nil"/>
              <w:left w:val="nil"/>
              <w:bottom w:val="nil"/>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1</w:t>
            </w:r>
          </w:p>
        </w:tc>
        <w:tc>
          <w:tcPr>
            <w:tcW w:w="986"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61.0121</w:t>
            </w:r>
          </w:p>
        </w:tc>
        <w:tc>
          <w:tcPr>
            <w:tcW w:w="1034" w:type="pct"/>
            <w:tcBorders>
              <w:top w:val="single" w:sz="4" w:space="0" w:color="auto"/>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-6.4094</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0.9566</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nil"/>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(0.2101)</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(0.3388)</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val="restart"/>
            <w:tcBorders>
              <w:top w:val="nil"/>
              <w:left w:val="nil"/>
              <w:bottom w:val="single" w:sz="4" w:space="0" w:color="000000"/>
              <w:right w:val="nil"/>
            </w:tcBorders>
            <w:shd w:val="clear" w:color="auto" w:fill="auto"/>
            <w:noWrap/>
            <w:vAlign w:val="center"/>
            <w:hideMark/>
          </w:tcPr>
          <w:p w:rsidR="004116D4" w:rsidRPr="00884770" w:rsidRDefault="004116D4" w:rsidP="006E635A">
            <w:pPr>
              <w:tabs>
                <w:tab w:val="left" w:pos="810"/>
              </w:tabs>
              <w:spacing w:after="0" w:line="240" w:lineRule="auto"/>
              <w:jc w:val="center"/>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Model 2</w:t>
            </w:r>
          </w:p>
        </w:tc>
        <w:tc>
          <w:tcPr>
            <w:tcW w:w="98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86.3219</w:t>
            </w:r>
          </w:p>
        </w:tc>
        <w:tc>
          <w:tcPr>
            <w:tcW w:w="1034"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-6.6833</w:t>
            </w:r>
          </w:p>
        </w:tc>
        <w:tc>
          <w:tcPr>
            <w:tcW w:w="996" w:type="pct"/>
            <w:tcBorders>
              <w:top w:val="nil"/>
              <w:left w:val="nil"/>
              <w:bottom w:val="nil"/>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1.1798</w:t>
            </w:r>
          </w:p>
        </w:tc>
      </w:tr>
      <w:tr w:rsidR="004116D4" w:rsidRPr="00884770" w:rsidTr="006E635A">
        <w:trPr>
          <w:trHeight w:val="52"/>
        </w:trPr>
        <w:tc>
          <w:tcPr>
            <w:tcW w:w="106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22" w:type="pct"/>
            <w:vMerge/>
            <w:tcBorders>
              <w:top w:val="nil"/>
              <w:left w:val="nil"/>
              <w:bottom w:val="single" w:sz="4" w:space="0" w:color="000000"/>
              <w:right w:val="nil"/>
            </w:tcBorders>
            <w:vAlign w:val="center"/>
            <w:hideMark/>
          </w:tcPr>
          <w:p w:rsidR="004116D4" w:rsidRPr="00884770" w:rsidRDefault="004116D4" w:rsidP="006E635A">
            <w:pPr>
              <w:tabs>
                <w:tab w:val="left" w:pos="810"/>
              </w:tabs>
              <w:spacing w:after="0" w:line="240" w:lineRule="auto"/>
              <w:rPr>
                <w:rFonts w:ascii="Times New Roman" w:eastAsia="Times New Roman" w:hAnsi="Times New Roman" w:cs="Times New Roman"/>
                <w:color w:val="000000"/>
                <w:sz w:val="24"/>
                <w:szCs w:val="24"/>
              </w:rPr>
            </w:pPr>
          </w:p>
        </w:tc>
        <w:tc>
          <w:tcPr>
            <w:tcW w:w="98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(0.0662)</w:t>
            </w:r>
          </w:p>
        </w:tc>
        <w:tc>
          <w:tcPr>
            <w:tcW w:w="1034"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(0.0000)***</w:t>
            </w:r>
          </w:p>
        </w:tc>
        <w:tc>
          <w:tcPr>
            <w:tcW w:w="996" w:type="pct"/>
            <w:tcBorders>
              <w:top w:val="nil"/>
              <w:left w:val="nil"/>
              <w:bottom w:val="single" w:sz="4" w:space="0" w:color="auto"/>
              <w:right w:val="nil"/>
            </w:tcBorders>
            <w:shd w:val="clear" w:color="auto" w:fill="auto"/>
            <w:noWrap/>
            <w:vAlign w:val="bottom"/>
            <w:hideMark/>
          </w:tcPr>
          <w:p w:rsidR="004116D4" w:rsidRPr="00884770" w:rsidRDefault="004116D4" w:rsidP="006E635A">
            <w:pPr>
              <w:tabs>
                <w:tab w:val="left" w:pos="810"/>
              </w:tabs>
              <w:spacing w:after="0" w:line="240" w:lineRule="auto"/>
              <w:jc w:val="right"/>
              <w:rPr>
                <w:rFonts w:ascii="Times New Roman" w:eastAsia="Times New Roman" w:hAnsi="Times New Roman" w:cs="Times New Roman"/>
                <w:color w:val="000000"/>
                <w:sz w:val="24"/>
                <w:szCs w:val="24"/>
              </w:rPr>
            </w:pPr>
            <w:r w:rsidRPr="00884770">
              <w:rPr>
                <w:rFonts w:ascii="Times New Roman" w:eastAsia="Times New Roman" w:hAnsi="Times New Roman" w:cs="Times New Roman"/>
                <w:color w:val="000000"/>
                <w:sz w:val="24"/>
                <w:szCs w:val="24"/>
              </w:rPr>
              <w:t>(0.2381)</w:t>
            </w:r>
          </w:p>
        </w:tc>
      </w:tr>
    </w:tbl>
    <w:p w:rsidR="004116D4" w:rsidRPr="00884770" w:rsidRDefault="004116D4" w:rsidP="004116D4">
      <w:pPr>
        <w:tabs>
          <w:tab w:val="left" w:pos="810"/>
        </w:tabs>
        <w:spacing w:line="240" w:lineRule="auto"/>
        <w:jc w:val="both"/>
        <w:rPr>
          <w:rFonts w:ascii="Times New Roman" w:eastAsia="Times New Roman" w:hAnsi="Times New Roman" w:cs="Times New Roman"/>
          <w:color w:val="000000"/>
          <w:sz w:val="20"/>
          <w:szCs w:val="20"/>
        </w:rPr>
      </w:pPr>
      <w:r w:rsidRPr="00884770">
        <w:rPr>
          <w:rFonts w:ascii="Times New Roman" w:hAnsi="Times New Roman" w:cs="Times New Roman"/>
          <w:sz w:val="20"/>
          <w:szCs w:val="20"/>
        </w:rPr>
        <w:t xml:space="preserve">Note: </w:t>
      </w:r>
      <w:proofErr w:type="spellStart"/>
      <w:r w:rsidRPr="00884770">
        <w:rPr>
          <w:rFonts w:ascii="Times New Roman" w:hAnsi="Times New Roman" w:cs="Times New Roman"/>
          <w:sz w:val="20"/>
          <w:szCs w:val="20"/>
        </w:rPr>
        <w:t>Sargan</w:t>
      </w:r>
      <w:proofErr w:type="spellEnd"/>
      <w:r w:rsidRPr="00884770">
        <w:rPr>
          <w:rFonts w:ascii="Times New Roman" w:hAnsi="Times New Roman" w:cs="Times New Roman"/>
          <w:sz w:val="20"/>
          <w:szCs w:val="20"/>
        </w:rPr>
        <w:t xml:space="preserve"> test is to test over-identifying restrictions in a statistical mode. </w:t>
      </w:r>
      <w:r w:rsidRPr="00884770">
        <w:rPr>
          <w:rFonts w:ascii="Times New Roman" w:eastAsia="Times New Roman" w:hAnsi="Times New Roman" w:cs="Times New Roman"/>
          <w:color w:val="000000"/>
          <w:sz w:val="20"/>
          <w:szCs w:val="20"/>
        </w:rPr>
        <w:t>Arellano-bond tests 1 and 2 are used to detect the existence of autocorrelation.</w:t>
      </w:r>
    </w:p>
    <w:p w:rsidR="00587D2F" w:rsidRDefault="004116D4" w:rsidP="00884770">
      <w:pPr>
        <w:tabs>
          <w:tab w:val="left" w:pos="810"/>
        </w:tabs>
        <w:spacing w:line="240" w:lineRule="auto"/>
        <w:jc w:val="both"/>
        <w:rPr>
          <w:rFonts w:ascii="Times New Roman" w:hAnsi="Times New Roman" w:cs="Times New Roman"/>
          <w:sz w:val="20"/>
          <w:szCs w:val="20"/>
        </w:rPr>
      </w:pPr>
      <w:r w:rsidRPr="00884770">
        <w:rPr>
          <w:rFonts w:ascii="Times New Roman" w:hAnsi="Times New Roman" w:cs="Times New Roman"/>
          <w:sz w:val="20"/>
          <w:szCs w:val="20"/>
        </w:rPr>
        <w:t>*** Significance at 0.01 confidence level, ** significance at 0.05 confidence level, * significance at 0.1 confidence level, p-values are in parentheses</w:t>
      </w:r>
    </w:p>
    <w:p w:rsidR="00884770" w:rsidRPr="00884770" w:rsidRDefault="00884770" w:rsidP="00884770">
      <w:pPr>
        <w:tabs>
          <w:tab w:val="left" w:pos="810"/>
        </w:tabs>
        <w:spacing w:line="240" w:lineRule="auto"/>
        <w:jc w:val="both"/>
        <w:rPr>
          <w:rFonts w:ascii="Times New Roman" w:hAnsi="Times New Roman" w:cs="Times New Roman"/>
          <w:sz w:val="20"/>
          <w:szCs w:val="20"/>
        </w:rPr>
      </w:pPr>
    </w:p>
    <w:p w:rsidR="00050A1E" w:rsidRPr="00FA4DBE" w:rsidRDefault="004116D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The results f</w:t>
      </w:r>
      <w:r w:rsidR="00587D2F">
        <w:rPr>
          <w:rFonts w:ascii="Times New Roman" w:hAnsi="Times New Roman" w:cs="Times New Roman"/>
          <w:sz w:val="24"/>
          <w:szCs w:val="24"/>
        </w:rPr>
        <w:t xml:space="preserve">or the </w:t>
      </w:r>
      <w:proofErr w:type="spellStart"/>
      <w:r w:rsidR="00587D2F">
        <w:rPr>
          <w:rFonts w:ascii="Times New Roman" w:hAnsi="Times New Roman" w:cs="Times New Roman"/>
          <w:sz w:val="24"/>
          <w:szCs w:val="24"/>
        </w:rPr>
        <w:t>Sargan</w:t>
      </w:r>
      <w:proofErr w:type="spellEnd"/>
      <w:r w:rsidR="00587D2F">
        <w:rPr>
          <w:rFonts w:ascii="Times New Roman" w:hAnsi="Times New Roman" w:cs="Times New Roman"/>
          <w:sz w:val="24"/>
          <w:szCs w:val="24"/>
        </w:rPr>
        <w:t xml:space="preserve"> test in Table </w:t>
      </w:r>
      <w:r>
        <w:rPr>
          <w:rFonts w:ascii="Times New Roman" w:hAnsi="Times New Roman" w:cs="Times New Roman"/>
          <w:sz w:val="24"/>
          <w:szCs w:val="24"/>
        </w:rPr>
        <w:t xml:space="preserve">2 show that them to be not statistically significant. With respect to the </w:t>
      </w:r>
      <w:proofErr w:type="spellStart"/>
      <w:r>
        <w:rPr>
          <w:rFonts w:ascii="Times New Roman" w:hAnsi="Times New Roman" w:cs="Times New Roman"/>
          <w:sz w:val="24"/>
          <w:szCs w:val="24"/>
        </w:rPr>
        <w:t>Sargan</w:t>
      </w:r>
      <w:proofErr w:type="spellEnd"/>
      <w:r>
        <w:rPr>
          <w:rFonts w:ascii="Times New Roman" w:hAnsi="Times New Roman" w:cs="Times New Roman"/>
          <w:sz w:val="24"/>
          <w:szCs w:val="24"/>
        </w:rPr>
        <w:t xml:space="preserve"> test of over-identifying restrictions, the high p-value suggests insufficient data in rejecting the null hypothesis that the set of instruments are appropriate. The second diagnostic test is a check of the first-order and second-order serial correlations in the first different residuals, stated as asymptotically standard normal distribution values. As required, the test for the first-order correlation AR (1) in the GMM estimation must reject the null hypothesis </w:t>
      </w:r>
      <w:r>
        <w:rPr>
          <w:rFonts w:ascii="Times New Roman" w:hAnsi="Times New Roman" w:cs="Times New Roman"/>
          <w:sz w:val="24"/>
          <w:szCs w:val="24"/>
        </w:rPr>
        <w:lastRenderedPageBreak/>
        <w:t xml:space="preserve">that the autocorrelation exists in the data set, and the second-order correlation AR (2) must fail to reject the null hypothesis. The statistical reports of the p-value of AR (1) and AR (2) are fulfilling the requirement. Thus the validity of GMM is supported in this model. </w:t>
      </w:r>
    </w:p>
    <w:p w:rsidR="004116D4" w:rsidRPr="00180A10" w:rsidRDefault="004116D4" w:rsidP="00EF351B">
      <w:pPr>
        <w:pStyle w:val="ListParagraph"/>
        <w:numPr>
          <w:ilvl w:val="0"/>
          <w:numId w:val="28"/>
        </w:numPr>
        <w:tabs>
          <w:tab w:val="left" w:pos="810"/>
        </w:tabs>
        <w:spacing w:line="480" w:lineRule="auto"/>
        <w:rPr>
          <w:rFonts w:ascii="Times New Roman" w:hAnsi="Times New Roman" w:cs="Times New Roman"/>
          <w:b/>
          <w:sz w:val="24"/>
          <w:szCs w:val="24"/>
        </w:rPr>
      </w:pPr>
      <w:r w:rsidRPr="00180A10">
        <w:rPr>
          <w:rFonts w:ascii="Times New Roman" w:hAnsi="Times New Roman" w:cs="Times New Roman"/>
          <w:b/>
          <w:sz w:val="24"/>
          <w:szCs w:val="24"/>
        </w:rPr>
        <w:t xml:space="preserve">Results for GMM Estimation of Financial Ratio and Risk Factors on Cash Ratio for KOSE </w:t>
      </w:r>
    </w:p>
    <w:p w:rsidR="004116D4" w:rsidRDefault="004116D4" w:rsidP="00EF351B">
      <w:pPr>
        <w:tabs>
          <w:tab w:val="left" w:pos="810"/>
        </w:tabs>
        <w:spacing w:line="480" w:lineRule="auto"/>
        <w:jc w:val="both"/>
        <w:rPr>
          <w:rFonts w:ascii="Times New Roman" w:hAnsi="Times New Roman" w:cs="Times New Roman"/>
          <w:sz w:val="24"/>
          <w:szCs w:val="24"/>
        </w:rPr>
      </w:pPr>
      <w:r w:rsidRPr="00963BBB">
        <w:rPr>
          <w:rFonts w:ascii="Times New Roman" w:hAnsi="Times New Roman" w:cs="Times New Roman"/>
          <w:sz w:val="24"/>
          <w:szCs w:val="24"/>
        </w:rPr>
        <w:t>As mentioned earlier, a</w:t>
      </w:r>
      <w:r>
        <w:rPr>
          <w:rFonts w:ascii="Times New Roman" w:hAnsi="Times New Roman" w:cs="Times New Roman"/>
          <w:sz w:val="24"/>
          <w:szCs w:val="24"/>
        </w:rPr>
        <w:t xml:space="preserve"> GMM estimation which consists of lagged variables as the </w:t>
      </w:r>
      <w:proofErr w:type="spellStart"/>
      <w:r>
        <w:rPr>
          <w:rFonts w:ascii="Times New Roman" w:hAnsi="Times New Roman" w:cs="Times New Roman"/>
          <w:sz w:val="24"/>
          <w:szCs w:val="24"/>
        </w:rPr>
        <w:t>regressors</w:t>
      </w:r>
      <w:proofErr w:type="spellEnd"/>
      <w:r>
        <w:rPr>
          <w:rFonts w:ascii="Times New Roman" w:hAnsi="Times New Roman" w:cs="Times New Roman"/>
          <w:sz w:val="24"/>
          <w:szCs w:val="24"/>
        </w:rPr>
        <w:t xml:space="preserve"> can aid in improving results by allowing the significance of the previous exogenous variables to be reflected in current adjustments. Therefore the findings of the dynamic relationship of corporate cash holdings with the financial ratios and risk factors might be improved by including the effect of lagged variables. The results for the GMM estimation for listed firms in </w:t>
      </w:r>
      <w:r w:rsidR="00587D2F">
        <w:rPr>
          <w:rFonts w:ascii="Times New Roman" w:hAnsi="Times New Roman" w:cs="Times New Roman"/>
          <w:sz w:val="24"/>
          <w:szCs w:val="24"/>
        </w:rPr>
        <w:t xml:space="preserve">KOSE are presented in Table </w:t>
      </w:r>
      <w:r>
        <w:rPr>
          <w:rFonts w:ascii="Times New Roman" w:hAnsi="Times New Roman" w:cs="Times New Roman"/>
          <w:sz w:val="24"/>
          <w:szCs w:val="24"/>
        </w:rPr>
        <w:t>3.</w:t>
      </w:r>
    </w:p>
    <w:p w:rsidR="00587D2F"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total number of listed firms involved is 864; 10.8% of the total is high cash holding firms, and the balance of 770 firms is low cash holding firms. The horizontal arrangement makes it easy to compare the findings from row to row across each category. The data are estimated using a two-year moving average as the number of years for the sample is not long enough to conduct a 3-year or 5-year moving average. The results </w:t>
      </w:r>
      <w:r w:rsidR="00587D2F">
        <w:rPr>
          <w:rFonts w:ascii="Times New Roman" w:hAnsi="Times New Roman" w:cs="Times New Roman"/>
          <w:sz w:val="24"/>
          <w:szCs w:val="24"/>
        </w:rPr>
        <w:t xml:space="preserve">for KOSE are shown in Table </w:t>
      </w:r>
      <w:r>
        <w:rPr>
          <w:rFonts w:ascii="Times New Roman" w:hAnsi="Times New Roman" w:cs="Times New Roman"/>
          <w:sz w:val="24"/>
          <w:szCs w:val="24"/>
        </w:rPr>
        <w:t xml:space="preserve">3. </w:t>
      </w: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884770" w:rsidRDefault="00884770" w:rsidP="00EF351B">
      <w:pPr>
        <w:tabs>
          <w:tab w:val="left" w:pos="810"/>
        </w:tabs>
        <w:spacing w:line="480" w:lineRule="auto"/>
        <w:ind w:firstLine="720"/>
        <w:jc w:val="both"/>
        <w:rPr>
          <w:rFonts w:ascii="Times New Roman" w:hAnsi="Times New Roman" w:cs="Times New Roman"/>
          <w:sz w:val="24"/>
          <w:szCs w:val="24"/>
        </w:rPr>
      </w:pPr>
    </w:p>
    <w:p w:rsidR="00587D2F" w:rsidRPr="00B34BE6" w:rsidRDefault="00587D2F" w:rsidP="00587D2F">
      <w:pPr>
        <w:tabs>
          <w:tab w:val="left" w:pos="81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3</w:t>
      </w:r>
      <w:r w:rsidRPr="00B34BE6">
        <w:rPr>
          <w:rFonts w:ascii="Times New Roman" w:hAnsi="Times New Roman" w:cs="Times New Roman"/>
          <w:b/>
          <w:sz w:val="24"/>
          <w:szCs w:val="24"/>
        </w:rPr>
        <w:t xml:space="preserve">: GMM </w:t>
      </w:r>
      <w:r>
        <w:rPr>
          <w:rFonts w:ascii="Times New Roman" w:hAnsi="Times New Roman" w:cs="Times New Roman"/>
          <w:b/>
          <w:sz w:val="24"/>
          <w:szCs w:val="24"/>
        </w:rPr>
        <w:t>e</w:t>
      </w:r>
      <w:r w:rsidRPr="00B34BE6">
        <w:rPr>
          <w:rFonts w:ascii="Times New Roman" w:hAnsi="Times New Roman" w:cs="Times New Roman"/>
          <w:b/>
          <w:sz w:val="24"/>
          <w:szCs w:val="24"/>
        </w:rPr>
        <w:t xml:space="preserve">stimation </w:t>
      </w:r>
      <w:r>
        <w:rPr>
          <w:rFonts w:ascii="Times New Roman" w:hAnsi="Times New Roman" w:cs="Times New Roman"/>
          <w:b/>
          <w:sz w:val="24"/>
          <w:szCs w:val="24"/>
        </w:rPr>
        <w:t>of</w:t>
      </w:r>
      <w:r w:rsidRPr="00B34BE6">
        <w:rPr>
          <w:rFonts w:ascii="Times New Roman" w:hAnsi="Times New Roman" w:cs="Times New Roman"/>
          <w:b/>
          <w:sz w:val="24"/>
          <w:szCs w:val="24"/>
        </w:rPr>
        <w:t xml:space="preserve"> </w:t>
      </w:r>
      <w:r>
        <w:rPr>
          <w:rFonts w:ascii="Times New Roman" w:hAnsi="Times New Roman" w:cs="Times New Roman"/>
          <w:b/>
          <w:sz w:val="24"/>
          <w:szCs w:val="24"/>
        </w:rPr>
        <w:t>i</w:t>
      </w:r>
      <w:r w:rsidRPr="00B34BE6">
        <w:rPr>
          <w:rFonts w:ascii="Times New Roman" w:hAnsi="Times New Roman" w:cs="Times New Roman"/>
          <w:b/>
          <w:sz w:val="24"/>
          <w:szCs w:val="24"/>
        </w:rPr>
        <w:t xml:space="preserve">mpact of </w:t>
      </w:r>
      <w:r>
        <w:rPr>
          <w:rFonts w:ascii="Times New Roman" w:hAnsi="Times New Roman" w:cs="Times New Roman"/>
          <w:b/>
          <w:sz w:val="24"/>
          <w:szCs w:val="24"/>
        </w:rPr>
        <w:t>firm-l</w:t>
      </w:r>
      <w:r w:rsidRPr="00B34BE6">
        <w:rPr>
          <w:rFonts w:ascii="Times New Roman" w:hAnsi="Times New Roman" w:cs="Times New Roman"/>
          <w:b/>
          <w:sz w:val="24"/>
          <w:szCs w:val="24"/>
        </w:rPr>
        <w:t xml:space="preserve">evel and </w:t>
      </w:r>
      <w:r>
        <w:rPr>
          <w:rFonts w:ascii="Times New Roman" w:hAnsi="Times New Roman" w:cs="Times New Roman"/>
          <w:b/>
          <w:sz w:val="24"/>
          <w:szCs w:val="24"/>
        </w:rPr>
        <w:t>m</w:t>
      </w:r>
      <w:r w:rsidRPr="00B34BE6">
        <w:rPr>
          <w:rFonts w:ascii="Times New Roman" w:hAnsi="Times New Roman" w:cs="Times New Roman"/>
          <w:b/>
          <w:sz w:val="24"/>
          <w:szCs w:val="24"/>
        </w:rPr>
        <w:t xml:space="preserve">acroeconomic </w:t>
      </w:r>
      <w:r>
        <w:rPr>
          <w:rFonts w:ascii="Times New Roman" w:hAnsi="Times New Roman" w:cs="Times New Roman"/>
          <w:b/>
          <w:sz w:val="24"/>
          <w:szCs w:val="24"/>
        </w:rPr>
        <w:t>factors on c</w:t>
      </w:r>
      <w:r w:rsidRPr="00B34BE6">
        <w:rPr>
          <w:rFonts w:ascii="Times New Roman" w:hAnsi="Times New Roman" w:cs="Times New Roman"/>
          <w:b/>
          <w:sz w:val="24"/>
          <w:szCs w:val="24"/>
        </w:rPr>
        <w:t xml:space="preserve">ash </w:t>
      </w:r>
      <w:r>
        <w:rPr>
          <w:rFonts w:ascii="Times New Roman" w:hAnsi="Times New Roman" w:cs="Times New Roman"/>
          <w:b/>
          <w:sz w:val="24"/>
          <w:szCs w:val="24"/>
        </w:rPr>
        <w:t>h</w:t>
      </w:r>
      <w:r w:rsidRPr="00B34BE6">
        <w:rPr>
          <w:rFonts w:ascii="Times New Roman" w:hAnsi="Times New Roman" w:cs="Times New Roman"/>
          <w:b/>
          <w:sz w:val="24"/>
          <w:szCs w:val="24"/>
        </w:rPr>
        <w:t xml:space="preserve">oldings </w:t>
      </w:r>
      <w:r>
        <w:rPr>
          <w:rFonts w:ascii="Times New Roman" w:hAnsi="Times New Roman" w:cs="Times New Roman"/>
          <w:b/>
          <w:sz w:val="24"/>
          <w:szCs w:val="24"/>
        </w:rPr>
        <w:t>r</w:t>
      </w:r>
      <w:r w:rsidRPr="00B34BE6">
        <w:rPr>
          <w:rFonts w:ascii="Times New Roman" w:hAnsi="Times New Roman" w:cs="Times New Roman"/>
          <w:b/>
          <w:sz w:val="24"/>
          <w:szCs w:val="24"/>
        </w:rPr>
        <w:t xml:space="preserve">atio for </w:t>
      </w:r>
      <w:r>
        <w:rPr>
          <w:rFonts w:ascii="Times New Roman" w:hAnsi="Times New Roman" w:cs="Times New Roman"/>
          <w:b/>
          <w:sz w:val="24"/>
          <w:szCs w:val="24"/>
        </w:rPr>
        <w:t>l</w:t>
      </w:r>
      <w:r w:rsidRPr="00B34BE6">
        <w:rPr>
          <w:rFonts w:ascii="Times New Roman" w:hAnsi="Times New Roman" w:cs="Times New Roman"/>
          <w:b/>
          <w:sz w:val="24"/>
          <w:szCs w:val="24"/>
        </w:rPr>
        <w:t xml:space="preserve">isted </w:t>
      </w:r>
      <w:r>
        <w:rPr>
          <w:rFonts w:ascii="Times New Roman" w:hAnsi="Times New Roman" w:cs="Times New Roman"/>
          <w:b/>
          <w:sz w:val="24"/>
          <w:szCs w:val="24"/>
        </w:rPr>
        <w:t>f</w:t>
      </w:r>
      <w:r w:rsidRPr="00B34BE6">
        <w:rPr>
          <w:rFonts w:ascii="Times New Roman" w:hAnsi="Times New Roman" w:cs="Times New Roman"/>
          <w:b/>
          <w:sz w:val="24"/>
          <w:szCs w:val="24"/>
        </w:rPr>
        <w:t>ir</w:t>
      </w:r>
      <w:r>
        <w:rPr>
          <w:rFonts w:ascii="Times New Roman" w:hAnsi="Times New Roman" w:cs="Times New Roman"/>
          <w:b/>
          <w:sz w:val="24"/>
          <w:szCs w:val="24"/>
        </w:rPr>
        <w:t>ms in KOSE</w:t>
      </w:r>
      <w:r w:rsidRPr="00B34BE6">
        <w:rPr>
          <w:rFonts w:ascii="Times New Roman" w:hAnsi="Times New Roman" w:cs="Times New Roman"/>
          <w:b/>
          <w:sz w:val="24"/>
          <w:szCs w:val="24"/>
        </w:rPr>
        <w:t xml:space="preserve"> </w:t>
      </w:r>
      <w:r>
        <w:rPr>
          <w:rFonts w:ascii="Times New Roman" w:hAnsi="Times New Roman" w:cs="Times New Roman"/>
          <w:b/>
          <w:sz w:val="24"/>
          <w:szCs w:val="24"/>
        </w:rPr>
        <w:t>s</w:t>
      </w:r>
      <w:r w:rsidRPr="00B34BE6">
        <w:rPr>
          <w:rFonts w:ascii="Times New Roman" w:hAnsi="Times New Roman" w:cs="Times New Roman"/>
          <w:b/>
          <w:sz w:val="24"/>
          <w:szCs w:val="24"/>
        </w:rPr>
        <w:t xml:space="preserve">tarting </w:t>
      </w:r>
      <w:r>
        <w:rPr>
          <w:rFonts w:ascii="Times New Roman" w:hAnsi="Times New Roman" w:cs="Times New Roman"/>
          <w:b/>
          <w:sz w:val="24"/>
          <w:szCs w:val="24"/>
        </w:rPr>
        <w:t>f</w:t>
      </w:r>
      <w:r w:rsidRPr="00B34BE6">
        <w:rPr>
          <w:rFonts w:ascii="Times New Roman" w:hAnsi="Times New Roman" w:cs="Times New Roman"/>
          <w:b/>
          <w:sz w:val="24"/>
          <w:szCs w:val="24"/>
        </w:rPr>
        <w:t xml:space="preserve">rom 2001 to 2012 </w:t>
      </w:r>
      <w:r>
        <w:rPr>
          <w:rFonts w:ascii="Times New Roman" w:hAnsi="Times New Roman" w:cs="Times New Roman"/>
          <w:b/>
          <w:sz w:val="24"/>
          <w:szCs w:val="24"/>
        </w:rPr>
        <w:t>u</w:t>
      </w:r>
      <w:r w:rsidRPr="00B34BE6">
        <w:rPr>
          <w:rFonts w:ascii="Times New Roman" w:hAnsi="Times New Roman" w:cs="Times New Roman"/>
          <w:b/>
          <w:sz w:val="24"/>
          <w:szCs w:val="24"/>
        </w:rPr>
        <w:t>sing</w:t>
      </w:r>
      <w:r>
        <w:rPr>
          <w:rFonts w:ascii="Times New Roman" w:hAnsi="Times New Roman" w:cs="Times New Roman"/>
          <w:b/>
          <w:sz w:val="24"/>
          <w:szCs w:val="24"/>
        </w:rPr>
        <w:t xml:space="preserve"> two-year m</w:t>
      </w:r>
      <w:r w:rsidRPr="00B34BE6">
        <w:rPr>
          <w:rFonts w:ascii="Times New Roman" w:hAnsi="Times New Roman" w:cs="Times New Roman"/>
          <w:b/>
          <w:sz w:val="24"/>
          <w:szCs w:val="24"/>
        </w:rPr>
        <w:t xml:space="preserve">oving </w:t>
      </w:r>
      <w:r>
        <w:rPr>
          <w:rFonts w:ascii="Times New Roman" w:hAnsi="Times New Roman" w:cs="Times New Roman"/>
          <w:b/>
          <w:sz w:val="24"/>
          <w:szCs w:val="24"/>
        </w:rPr>
        <w:t>a</w:t>
      </w:r>
      <w:r w:rsidRPr="00B34BE6">
        <w:rPr>
          <w:rFonts w:ascii="Times New Roman" w:hAnsi="Times New Roman" w:cs="Times New Roman"/>
          <w:b/>
          <w:sz w:val="24"/>
          <w:szCs w:val="24"/>
        </w:rPr>
        <w:t>verage</w:t>
      </w:r>
    </w:p>
    <w:p w:rsidR="00587D2F" w:rsidRPr="00C651C1" w:rsidRDefault="00587D2F" w:rsidP="00587D2F">
      <w:pPr>
        <w:tabs>
          <w:tab w:val="left" w:pos="810"/>
        </w:tabs>
        <w:spacing w:line="240" w:lineRule="auto"/>
        <w:jc w:val="both"/>
        <w:rPr>
          <w:rFonts w:ascii="Times New Roman" w:hAnsi="Times New Roman" w:cs="Times New Roman"/>
          <w:b/>
          <w:sz w:val="20"/>
          <w:szCs w:val="20"/>
        </w:rPr>
      </w:pPr>
      <w:r w:rsidRPr="00C651C1">
        <w:rPr>
          <w:rFonts w:ascii="Times New Roman" w:hAnsi="Times New Roman" w:cs="Times New Roman"/>
          <w:sz w:val="20"/>
          <w:szCs w:val="20"/>
        </w:rPr>
        <w:t xml:space="preserve">This table presents the results of the dynamic effect of cash ratio in the entire sample and the two subsamples of high cash holding firms and low cash holding firms. Model 1 </w:t>
      </w:r>
      <w:proofErr w:type="gramStart"/>
      <w:r w:rsidRPr="00C651C1">
        <w:rPr>
          <w:rFonts w:ascii="Times New Roman" w:hAnsi="Times New Roman" w:cs="Times New Roman"/>
          <w:sz w:val="20"/>
          <w:szCs w:val="20"/>
        </w:rPr>
        <w:t>regresses</w:t>
      </w:r>
      <w:proofErr w:type="gramEnd"/>
      <w:r w:rsidRPr="00C651C1">
        <w:rPr>
          <w:rFonts w:ascii="Times New Roman" w:hAnsi="Times New Roman" w:cs="Times New Roman"/>
          <w:sz w:val="20"/>
          <w:szCs w:val="20"/>
        </w:rPr>
        <w:t xml:space="preserve"> the cash ratio with</w:t>
      </w:r>
      <w:r>
        <w:rPr>
          <w:rFonts w:ascii="Times New Roman" w:hAnsi="Times New Roman" w:cs="Times New Roman"/>
          <w:sz w:val="20"/>
          <w:szCs w:val="20"/>
        </w:rPr>
        <w:t xml:space="preserve"> lagged cash ratio and financial ratio</w:t>
      </w:r>
      <w:r w:rsidRPr="00C651C1">
        <w:rPr>
          <w:rFonts w:ascii="Times New Roman" w:hAnsi="Times New Roman" w:cs="Times New Roman"/>
          <w:sz w:val="20"/>
          <w:szCs w:val="20"/>
        </w:rPr>
        <w:t xml:space="preserve"> factors; macroeconomic risk factors are added to Model 2. Liquidity factor is measured by liquid assets over total assets ratio, solvency factor is estimated using equity over total assets, and repayment ability factor is calculated using EBITD over interest expenses. Inflation and currency risk factors are measured by the standard deviation of changes in monthly data for particular fiscal year. </w:t>
      </w:r>
    </w:p>
    <w:tbl>
      <w:tblPr>
        <w:tblW w:w="9405" w:type="dxa"/>
        <w:tblLayout w:type="fixed"/>
        <w:tblLook w:val="04A0" w:firstRow="1" w:lastRow="0" w:firstColumn="1" w:lastColumn="0" w:noHBand="0" w:noVBand="1"/>
      </w:tblPr>
      <w:tblGrid>
        <w:gridCol w:w="1651"/>
        <w:gridCol w:w="300"/>
        <w:gridCol w:w="1454"/>
        <w:gridCol w:w="1200"/>
        <w:gridCol w:w="1200"/>
        <w:gridCol w:w="1200"/>
        <w:gridCol w:w="1200"/>
        <w:gridCol w:w="1200"/>
      </w:tblGrid>
      <w:tr w:rsidR="00587D2F" w:rsidRPr="00D138F7" w:rsidTr="00210F01">
        <w:trPr>
          <w:trHeight w:val="300"/>
        </w:trPr>
        <w:tc>
          <w:tcPr>
            <w:tcW w:w="1651" w:type="dxa"/>
            <w:tcBorders>
              <w:top w:val="single" w:sz="4" w:space="0" w:color="auto"/>
              <w:left w:val="nil"/>
              <w:bottom w:val="nil"/>
              <w:right w:val="nil"/>
            </w:tcBorders>
            <w:shd w:val="clear" w:color="auto" w:fill="auto"/>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300" w:type="dxa"/>
            <w:tcBorders>
              <w:top w:val="single" w:sz="4" w:space="0" w:color="auto"/>
              <w:left w:val="nil"/>
              <w:bottom w:val="nil"/>
              <w:right w:val="single" w:sz="4" w:space="0" w:color="auto"/>
            </w:tcBorders>
            <w:shd w:val="clear" w:color="auto" w:fill="auto"/>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7454" w:type="dxa"/>
            <w:gridSpan w:val="6"/>
            <w:tcBorders>
              <w:top w:val="single" w:sz="4" w:space="0" w:color="auto"/>
              <w:left w:val="single" w:sz="4" w:space="0" w:color="auto"/>
              <w:bottom w:val="single" w:sz="4" w:space="0" w:color="auto"/>
              <w:right w:val="nil"/>
            </w:tcBorders>
            <w:shd w:val="clear" w:color="auto" w:fill="auto"/>
            <w:vAlign w:val="bottom"/>
            <w:hideMark/>
          </w:tcPr>
          <w:p w:rsidR="00587D2F" w:rsidRPr="00D138F7" w:rsidRDefault="00587D2F" w:rsidP="00210F01">
            <w:pPr>
              <w:tabs>
                <w:tab w:val="left" w:pos="810"/>
              </w:tabs>
              <w:spacing w:after="0" w:line="240" w:lineRule="auto"/>
              <w:jc w:val="center"/>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Dependent variable: cash ratio</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center"/>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All</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center"/>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High cash</w:t>
            </w:r>
          </w:p>
        </w:tc>
        <w:tc>
          <w:tcPr>
            <w:tcW w:w="2400" w:type="dxa"/>
            <w:gridSpan w:val="2"/>
            <w:tcBorders>
              <w:top w:val="single" w:sz="4" w:space="0" w:color="auto"/>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center"/>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Low cash</w:t>
            </w:r>
          </w:p>
        </w:tc>
      </w:tr>
      <w:tr w:rsidR="00587D2F" w:rsidRPr="00D138F7" w:rsidTr="00210F01">
        <w:trPr>
          <w:trHeight w:val="30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Variable</w:t>
            </w: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2</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2</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Model 2</w:t>
            </w:r>
          </w:p>
        </w:tc>
      </w:tr>
      <w:tr w:rsidR="00587D2F" w:rsidRPr="00D138F7" w:rsidTr="00210F01">
        <w:trPr>
          <w:trHeight w:val="300"/>
        </w:trPr>
        <w:tc>
          <w:tcPr>
            <w:tcW w:w="1651" w:type="dxa"/>
            <w:tcBorders>
              <w:top w:val="nil"/>
              <w:left w:val="nil"/>
              <w:bottom w:val="nil"/>
              <w:right w:val="nil"/>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Constant</w:t>
            </w: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a</w:t>
            </w: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-0.0056</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0.0205</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0.3519</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0.0778</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-0.0070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0.0124</w:t>
            </w:r>
          </w:p>
        </w:tc>
      </w:tr>
      <w:tr w:rsidR="00587D2F" w:rsidRPr="00D138F7" w:rsidTr="00210F01">
        <w:trPr>
          <w:trHeight w:val="8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b</w:t>
            </w: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(-0.5000)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(1.1200)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(4.1800***)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(0.9100)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(-0.6600)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(0.7100)</w:t>
            </w:r>
          </w:p>
        </w:tc>
      </w:tr>
      <w:tr w:rsidR="00587D2F" w:rsidRPr="00D138F7" w:rsidTr="00210F01">
        <w:trPr>
          <w:trHeight w:val="30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c</w:t>
            </w: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(0.6190)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(0.2620)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(0.3610)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(0.5100)</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(0.4760)</w:t>
            </w:r>
          </w:p>
        </w:tc>
      </w:tr>
      <w:tr w:rsidR="00587D2F" w:rsidRPr="00D138F7" w:rsidTr="00210F01">
        <w:trPr>
          <w:trHeight w:val="80"/>
        </w:trPr>
        <w:tc>
          <w:tcPr>
            <w:tcW w:w="1951" w:type="dxa"/>
            <w:gridSpan w:val="2"/>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L. Cash Ratio</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0.3164</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0.3110</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0.2737</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0.1304</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0.3413</w:t>
            </w: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0.3228</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(5.8300***)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(5.7500***)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(2.6900**)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(2.2200**)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(6.7700***)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(6.4200***)</w:t>
            </w:r>
          </w:p>
        </w:tc>
      </w:tr>
      <w:tr w:rsidR="00587D2F" w:rsidRPr="00D138F7" w:rsidTr="00210F01">
        <w:trPr>
          <w:trHeight w:val="8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(0.0070)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(0.0270)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r>
      <w:tr w:rsidR="00587D2F" w:rsidRPr="00D138F7" w:rsidTr="00210F01">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Liquidity Risk</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0.0185</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0.0190</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0.0053</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0.0091</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0.0200</w:t>
            </w: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0.0213</w:t>
            </w:r>
          </w:p>
        </w:tc>
      </w:tr>
      <w:tr w:rsidR="00587D2F" w:rsidRPr="00D138F7" w:rsidTr="00210F01">
        <w:trPr>
          <w:trHeight w:val="8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(5.9200***)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(5.5300***)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(2.3400**)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(1.9600**)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(7.1100***)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(6.7400***)</w:t>
            </w:r>
          </w:p>
        </w:tc>
      </w:tr>
      <w:tr w:rsidR="00587D2F" w:rsidRPr="00D138F7" w:rsidTr="00210F01">
        <w:trPr>
          <w:trHeight w:val="8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(0.0190)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(0.0500)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r>
      <w:tr w:rsidR="00587D2F" w:rsidRPr="00D138F7" w:rsidTr="00210F01">
        <w:trPr>
          <w:trHeight w:val="80"/>
        </w:trPr>
        <w:tc>
          <w:tcPr>
            <w:tcW w:w="1951" w:type="dxa"/>
            <w:gridSpan w:val="2"/>
            <w:vMerge w:val="restart"/>
            <w:tcBorders>
              <w:top w:val="single" w:sz="4" w:space="0" w:color="auto"/>
              <w:left w:val="nil"/>
              <w:right w:val="single" w:sz="4" w:space="0" w:color="auto"/>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Repayment ability factor</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0.0006</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0.0006</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0.0010</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0.0005</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0.0007</w:t>
            </w: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0.0007</w:t>
            </w:r>
          </w:p>
        </w:tc>
      </w:tr>
      <w:tr w:rsidR="00587D2F" w:rsidRPr="00D138F7" w:rsidTr="00210F01">
        <w:trPr>
          <w:trHeight w:val="300"/>
        </w:trPr>
        <w:tc>
          <w:tcPr>
            <w:tcW w:w="1951" w:type="dxa"/>
            <w:gridSpan w:val="2"/>
            <w:vMerge/>
            <w:tcBorders>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(3.2400***)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(3.2300***)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(1.8100*)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(2.2200**)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(4.5500***)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(4.5500***)</w:t>
            </w:r>
          </w:p>
        </w:tc>
      </w:tr>
      <w:tr w:rsidR="00587D2F" w:rsidRPr="00D138F7" w:rsidTr="00210F01">
        <w:trPr>
          <w:trHeight w:val="8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(0.0010)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(0.0010)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(0.0700)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(0.0260)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r>
      <w:tr w:rsidR="00587D2F" w:rsidRPr="00D138F7" w:rsidTr="00210F01">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Solvency factor</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0.0003</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0.0003</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0.0007</w:t>
            </w: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0.0004</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0.0005</w:t>
            </w: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0.0004</w:t>
            </w:r>
          </w:p>
        </w:tc>
      </w:tr>
      <w:tr w:rsidR="00587D2F" w:rsidRPr="00D138F7" w:rsidTr="00210F01">
        <w:trPr>
          <w:trHeight w:val="8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(1.4100)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(1.5200)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(2.4500**)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(1.4800)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(1.9800**)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(1.8800*)</w:t>
            </w:r>
          </w:p>
        </w:tc>
      </w:tr>
      <w:tr w:rsidR="00587D2F" w:rsidRPr="00D138F7" w:rsidTr="00210F01">
        <w:trPr>
          <w:trHeight w:val="30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(0.1580)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(0.1290)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(0.0140)</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(0.1390)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(0.0470)</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(0.0600)</w:t>
            </w:r>
          </w:p>
        </w:tc>
      </w:tr>
      <w:tr w:rsidR="00587D2F" w:rsidRPr="00D138F7" w:rsidTr="00210F01">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Inflation Risk</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-5.5697</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138F7">
              <w:rPr>
                <w:rFonts w:ascii="Times New Roman" w:eastAsia="Times New Roman" w:hAnsi="Times New Roman" w:cs="Times New Roman"/>
                <w:color w:val="000000"/>
                <w:sz w:val="20"/>
                <w:szCs w:val="20"/>
              </w:rPr>
              <w:t>13.4356</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-3.7371</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(-1.9900**)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(-2.4000**)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(-1.4400)</w:t>
            </w:r>
          </w:p>
        </w:tc>
      </w:tr>
      <w:tr w:rsidR="00587D2F" w:rsidRPr="00D138F7" w:rsidTr="00210F01">
        <w:trPr>
          <w:trHeight w:val="30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(0.0470)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(0.0160)</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(0.1510)</w:t>
            </w:r>
          </w:p>
        </w:tc>
      </w:tr>
      <w:tr w:rsidR="00587D2F" w:rsidRPr="00D138F7" w:rsidTr="00210F01">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Currency Risk</w:t>
            </w:r>
          </w:p>
        </w:tc>
        <w:tc>
          <w:tcPr>
            <w:tcW w:w="1454"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-0.2597</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4.3455</w:t>
            </w:r>
          </w:p>
        </w:tc>
        <w:tc>
          <w:tcPr>
            <w:tcW w:w="1200" w:type="dxa"/>
            <w:tcBorders>
              <w:top w:val="single" w:sz="4" w:space="0" w:color="auto"/>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-0.0976</w:t>
            </w:r>
          </w:p>
        </w:tc>
      </w:tr>
      <w:tr w:rsidR="00587D2F" w:rsidRPr="00D138F7" w:rsidTr="00210F01">
        <w:trPr>
          <w:trHeight w:val="8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(-1.1600)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(5.9100***)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(-0.4600)</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(0.2470)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(0.6450)</w:t>
            </w:r>
          </w:p>
        </w:tc>
      </w:tr>
      <w:tr w:rsidR="00587D2F" w:rsidRPr="00D138F7" w:rsidTr="00210F01">
        <w:trPr>
          <w:trHeight w:val="80"/>
        </w:trPr>
        <w:tc>
          <w:tcPr>
            <w:tcW w:w="1651"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 xml:space="preserve">Wald chi </w:t>
            </w: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158.3100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163.9600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389.0200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382.3000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217.6400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232.2300</w:t>
            </w:r>
          </w:p>
        </w:tc>
      </w:tr>
      <w:tr w:rsidR="00587D2F" w:rsidRPr="00D138F7" w:rsidTr="00210F01">
        <w:trPr>
          <w:trHeight w:val="300"/>
        </w:trPr>
        <w:tc>
          <w:tcPr>
            <w:tcW w:w="1651"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p-value</w:t>
            </w:r>
          </w:p>
        </w:tc>
        <w:tc>
          <w:tcPr>
            <w:tcW w:w="3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nil"/>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c>
          <w:tcPr>
            <w:tcW w:w="1200" w:type="dxa"/>
            <w:tcBorders>
              <w:top w:val="nil"/>
              <w:left w:val="nil"/>
              <w:bottom w:val="nil"/>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r w:rsidRPr="00D138F7">
              <w:rPr>
                <w:rFonts w:ascii="Times New Roman" w:eastAsia="Times New Roman" w:hAnsi="Times New Roman" w:cs="Times New Roman"/>
                <w:color w:val="000000"/>
                <w:sz w:val="20"/>
                <w:szCs w:val="20"/>
              </w:rPr>
              <w:t>(0.0000***)</w:t>
            </w:r>
          </w:p>
        </w:tc>
      </w:tr>
      <w:tr w:rsidR="00587D2F" w:rsidRPr="00D138F7" w:rsidTr="00210F01">
        <w:trPr>
          <w:trHeight w:val="300"/>
        </w:trPr>
        <w:tc>
          <w:tcPr>
            <w:tcW w:w="1951" w:type="dxa"/>
            <w:gridSpan w:val="2"/>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single" w:sz="4" w:space="0" w:color="auto"/>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587D2F" w:rsidRPr="00D138F7" w:rsidRDefault="00587D2F" w:rsidP="00210F01">
            <w:pPr>
              <w:tabs>
                <w:tab w:val="left" w:pos="810"/>
              </w:tabs>
              <w:spacing w:after="0" w:line="240" w:lineRule="auto"/>
              <w:jc w:val="right"/>
              <w:rPr>
                <w:rFonts w:ascii="Times New Roman" w:eastAsia="Times New Roman" w:hAnsi="Times New Roman" w:cs="Times New Roman"/>
                <w:color w:val="000000"/>
                <w:sz w:val="20"/>
                <w:szCs w:val="20"/>
              </w:rPr>
            </w:pPr>
          </w:p>
        </w:tc>
      </w:tr>
    </w:tbl>
    <w:p w:rsidR="00587D2F" w:rsidRPr="001F52F3" w:rsidRDefault="00587D2F" w:rsidP="00587D2F">
      <w:pPr>
        <w:tabs>
          <w:tab w:val="left" w:pos="810"/>
        </w:tabs>
        <w:spacing w:line="240" w:lineRule="auto"/>
        <w:jc w:val="both"/>
        <w:rPr>
          <w:rFonts w:ascii="Times New Roman" w:hAnsi="Times New Roman" w:cs="Times New Roman"/>
          <w:sz w:val="20"/>
          <w:szCs w:val="20"/>
        </w:rPr>
      </w:pPr>
      <w:r w:rsidRPr="00AF42E5">
        <w:rPr>
          <w:rFonts w:ascii="Times New Roman" w:hAnsi="Times New Roman" w:cs="Times New Roman"/>
        </w:rPr>
        <w:t xml:space="preserve">Note: </w:t>
      </w:r>
      <w:r w:rsidRPr="00AF42E5">
        <w:rPr>
          <w:rFonts w:ascii="Times New Roman" w:hAnsi="Times New Roman" w:cs="Times New Roman"/>
          <w:sz w:val="20"/>
          <w:szCs w:val="20"/>
        </w:rPr>
        <w:t>a</w:t>
      </w:r>
      <w:r w:rsidRPr="00934FE9">
        <w:rPr>
          <w:rFonts w:ascii="Times New Roman" w:hAnsi="Times New Roman" w:cs="Times New Roman"/>
          <w:sz w:val="20"/>
          <w:szCs w:val="20"/>
        </w:rPr>
        <w:t xml:space="preserve"> =coefficients, b = t-statistics, c = p-values, significant at 0.01(*), 0.05(**), 0.001(***) level.</w:t>
      </w:r>
    </w:p>
    <w:p w:rsidR="00587D2F" w:rsidRDefault="00587D2F" w:rsidP="00EF351B">
      <w:pPr>
        <w:tabs>
          <w:tab w:val="left" w:pos="810"/>
        </w:tabs>
        <w:spacing w:line="480" w:lineRule="auto"/>
        <w:ind w:firstLine="720"/>
        <w:jc w:val="both"/>
        <w:rPr>
          <w:rFonts w:ascii="Times New Roman" w:hAnsi="Times New Roman" w:cs="Times New Roman"/>
          <w:sz w:val="24"/>
          <w:szCs w:val="24"/>
        </w:rPr>
      </w:pPr>
    </w:p>
    <w:p w:rsidR="00587D2F" w:rsidRDefault="00587D2F" w:rsidP="00EF351B">
      <w:pPr>
        <w:tabs>
          <w:tab w:val="left" w:pos="810"/>
        </w:tabs>
        <w:spacing w:line="480" w:lineRule="auto"/>
        <w:ind w:firstLine="720"/>
        <w:jc w:val="both"/>
        <w:rPr>
          <w:rFonts w:ascii="Times New Roman" w:hAnsi="Times New Roman" w:cs="Times New Roman"/>
          <w:sz w:val="24"/>
          <w:szCs w:val="24"/>
        </w:rPr>
      </w:pPr>
    </w:p>
    <w:p w:rsidR="00587D2F" w:rsidRDefault="00587D2F" w:rsidP="00EF351B">
      <w:pPr>
        <w:tabs>
          <w:tab w:val="left" w:pos="810"/>
        </w:tabs>
        <w:spacing w:line="480" w:lineRule="auto"/>
        <w:ind w:firstLine="720"/>
        <w:jc w:val="both"/>
        <w:rPr>
          <w:rFonts w:ascii="Times New Roman" w:hAnsi="Times New Roman" w:cs="Times New Roman"/>
          <w:sz w:val="24"/>
          <w:szCs w:val="24"/>
        </w:rPr>
      </w:pPr>
    </w:p>
    <w:p w:rsidR="004116D4" w:rsidRDefault="004116D4" w:rsidP="00EF351B">
      <w:pPr>
        <w:tabs>
          <w:tab w:val="left" w:pos="810"/>
        </w:tabs>
        <w:spacing w:line="480" w:lineRule="auto"/>
        <w:ind w:firstLine="720"/>
        <w:jc w:val="both"/>
        <w:rPr>
          <w:rFonts w:ascii="Times New Roman" w:hAnsi="Times New Roman" w:cs="Times New Roman"/>
          <w:sz w:val="24"/>
          <w:szCs w:val="24"/>
        </w:rPr>
      </w:pPr>
      <w:r w:rsidRPr="00423BEA">
        <w:rPr>
          <w:rFonts w:ascii="Times New Roman" w:hAnsi="Times New Roman" w:cs="Times New Roman"/>
          <w:sz w:val="24"/>
          <w:szCs w:val="24"/>
        </w:rPr>
        <w:lastRenderedPageBreak/>
        <w:t>The</w:t>
      </w:r>
      <w:r>
        <w:rPr>
          <w:rFonts w:ascii="Times New Roman" w:hAnsi="Times New Roman" w:cs="Times New Roman"/>
          <w:sz w:val="24"/>
          <w:szCs w:val="24"/>
        </w:rPr>
        <w:t xml:space="preserve"> statistics indicate that the coefficient of lagged cash ratio is positively significant to dependent variables in that it supports the dynamic relationship of the dependent variable existing in this</w:t>
      </w:r>
      <w:r>
        <w:rPr>
          <w:rFonts w:ascii="Times New Roman" w:hAnsi="Times New Roman" w:cs="Times New Roman" w:hint="eastAsia"/>
          <w:sz w:val="24"/>
          <w:szCs w:val="24"/>
        </w:rPr>
        <w:t xml:space="preserve"> </w:t>
      </w:r>
      <w:r>
        <w:rPr>
          <w:rFonts w:ascii="Times New Roman" w:hAnsi="Times New Roman" w:cs="Times New Roman"/>
          <w:sz w:val="24"/>
          <w:szCs w:val="24"/>
        </w:rPr>
        <w:t>model.</w:t>
      </w:r>
      <w:r>
        <w:rPr>
          <w:rFonts w:ascii="Times New Roman" w:hAnsi="Times New Roman" w:cs="Times New Roman" w:hint="eastAsia"/>
          <w:sz w:val="24"/>
          <w:szCs w:val="24"/>
        </w:rPr>
        <w:t xml:space="preserve"> </w:t>
      </w:r>
      <w:r>
        <w:rPr>
          <w:rFonts w:ascii="Times New Roman" w:hAnsi="Times New Roman" w:cs="Times New Roman"/>
          <w:sz w:val="24"/>
          <w:szCs w:val="24"/>
        </w:rPr>
        <w:t>The cash-holding level relative to total assets in previous periods do generate a positive impact on the current cash ratio, and the impact of the lagged cash reserves has more of an effect on low cash holding firms</w:t>
      </w:r>
      <w:r w:rsidRPr="003A35AF">
        <w:rPr>
          <w:rFonts w:ascii="Times New Roman" w:hAnsi="Times New Roman" w:cs="Times New Roman"/>
          <w:sz w:val="24"/>
          <w:szCs w:val="24"/>
        </w:rPr>
        <w:t xml:space="preserve"> than </w:t>
      </w:r>
      <w:r>
        <w:rPr>
          <w:rFonts w:ascii="Times New Roman" w:hAnsi="Times New Roman" w:cs="Times New Roman"/>
          <w:sz w:val="24"/>
          <w:szCs w:val="24"/>
        </w:rPr>
        <w:t xml:space="preserve">high cash holding firms, shown by the coefficient of 0.3228 compared with 0.1304 in model 2. </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listed firms in KOSE, including high cash holding firms and low cash holding firms, the liquidity (tally with the finding in </w:t>
      </w:r>
      <w:proofErr w:type="spellStart"/>
      <w:r>
        <w:rPr>
          <w:rFonts w:ascii="Times New Roman" w:hAnsi="Times New Roman" w:cs="Times New Roman"/>
          <w:sz w:val="24"/>
          <w:szCs w:val="24"/>
        </w:rPr>
        <w:t>Mamdouh</w:t>
      </w:r>
      <w:proofErr w:type="spellEnd"/>
      <w:r>
        <w:rPr>
          <w:rFonts w:ascii="Times New Roman" w:hAnsi="Times New Roman" w:cs="Times New Roman"/>
          <w:sz w:val="24"/>
          <w:szCs w:val="24"/>
        </w:rPr>
        <w:t>, 2014) and repayment ability factors are positively significant to cash holdings. The coefficients for the</w:t>
      </w:r>
      <w:r w:rsidRPr="00824213">
        <w:rPr>
          <w:rFonts w:ascii="Times New Roman" w:hAnsi="Times New Roman" w:cs="Times New Roman"/>
          <w:sz w:val="24"/>
          <w:szCs w:val="24"/>
        </w:rPr>
        <w:t xml:space="preserve"> </w:t>
      </w:r>
      <w:r>
        <w:rPr>
          <w:rFonts w:ascii="Times New Roman" w:hAnsi="Times New Roman" w:cs="Times New Roman"/>
          <w:sz w:val="24"/>
          <w:szCs w:val="24"/>
        </w:rPr>
        <w:t xml:space="preserve">results of the GMM estimation showing that low cash holding firms have a higher coefficient for liquidity factor while the coefficient for the repayment ability factor is almost the same for both high cash holding firms and low cash holding firms. Low cash holding firms have a higher coefficient of 0.0321 for the liquidity risk factor, which is almost double compared with the coefficient of 0.0147 for high cash holding firms. This shows that the cash ratio of low cash holding firms is greatly responsive to changes in liquidity risk. </w:t>
      </w:r>
      <w:r w:rsidRPr="00042884">
        <w:rPr>
          <w:rFonts w:ascii="Times New Roman" w:hAnsi="Times New Roman" w:cs="Times New Roman"/>
          <w:sz w:val="24"/>
          <w:szCs w:val="24"/>
        </w:rPr>
        <w:t xml:space="preserve">Firms </w:t>
      </w:r>
      <w:r>
        <w:rPr>
          <w:rFonts w:ascii="Times New Roman" w:hAnsi="Times New Roman" w:cs="Times New Roman"/>
          <w:sz w:val="24"/>
          <w:szCs w:val="24"/>
        </w:rPr>
        <w:t xml:space="preserve">have </w:t>
      </w:r>
      <w:r w:rsidRPr="00042884">
        <w:rPr>
          <w:rFonts w:ascii="Times New Roman" w:hAnsi="Times New Roman" w:cs="Times New Roman"/>
          <w:sz w:val="24"/>
          <w:szCs w:val="24"/>
        </w:rPr>
        <w:t>access to t</w:t>
      </w:r>
      <w:r>
        <w:rPr>
          <w:rFonts w:ascii="Times New Roman" w:hAnsi="Times New Roman" w:cs="Times New Roman"/>
          <w:sz w:val="24"/>
          <w:szCs w:val="24"/>
        </w:rPr>
        <w:t xml:space="preserve">wo types of external financing which are </w:t>
      </w:r>
      <w:r w:rsidRPr="00042884">
        <w:rPr>
          <w:rFonts w:ascii="Times New Roman" w:hAnsi="Times New Roman" w:cs="Times New Roman"/>
          <w:sz w:val="24"/>
          <w:szCs w:val="24"/>
        </w:rPr>
        <w:t xml:space="preserve">debt and equity. </w:t>
      </w:r>
      <w:r>
        <w:rPr>
          <w:rFonts w:ascii="Times New Roman" w:hAnsi="Times New Roman" w:cs="Times New Roman"/>
          <w:sz w:val="24"/>
          <w:szCs w:val="24"/>
        </w:rPr>
        <w:t>When</w:t>
      </w:r>
      <w:r w:rsidRPr="00042884">
        <w:rPr>
          <w:rFonts w:ascii="Times New Roman" w:hAnsi="Times New Roman" w:cs="Times New Roman"/>
          <w:sz w:val="24"/>
          <w:szCs w:val="24"/>
        </w:rPr>
        <w:t xml:space="preserve"> internal</w:t>
      </w:r>
      <w:r>
        <w:rPr>
          <w:rFonts w:ascii="Times New Roman" w:hAnsi="Times New Roman" w:cs="Times New Roman"/>
          <w:sz w:val="24"/>
          <w:szCs w:val="24"/>
        </w:rPr>
        <w:t xml:space="preserve"> cash holdings</w:t>
      </w:r>
      <w:r w:rsidRPr="00042884">
        <w:rPr>
          <w:rFonts w:ascii="Times New Roman" w:hAnsi="Times New Roman" w:cs="Times New Roman"/>
          <w:sz w:val="24"/>
          <w:szCs w:val="24"/>
        </w:rPr>
        <w:t xml:space="preserve"> </w:t>
      </w:r>
      <w:r>
        <w:rPr>
          <w:rFonts w:ascii="Times New Roman" w:hAnsi="Times New Roman" w:cs="Times New Roman"/>
          <w:sz w:val="24"/>
          <w:szCs w:val="24"/>
        </w:rPr>
        <w:t xml:space="preserve">are insufficient to </w:t>
      </w:r>
      <w:r w:rsidRPr="00042884">
        <w:rPr>
          <w:rFonts w:ascii="Times New Roman" w:hAnsi="Times New Roman" w:cs="Times New Roman"/>
          <w:sz w:val="24"/>
          <w:szCs w:val="24"/>
        </w:rPr>
        <w:t xml:space="preserve">cover </w:t>
      </w:r>
      <w:r>
        <w:rPr>
          <w:rFonts w:ascii="Times New Roman" w:hAnsi="Times New Roman" w:cs="Times New Roman"/>
          <w:sz w:val="24"/>
          <w:szCs w:val="24"/>
        </w:rPr>
        <w:t>a</w:t>
      </w:r>
      <w:r w:rsidRPr="00042884">
        <w:rPr>
          <w:rFonts w:ascii="Times New Roman" w:hAnsi="Times New Roman" w:cs="Times New Roman"/>
          <w:sz w:val="24"/>
          <w:szCs w:val="24"/>
        </w:rPr>
        <w:t xml:space="preserve"> firm's </w:t>
      </w:r>
      <w:r>
        <w:rPr>
          <w:rFonts w:ascii="Times New Roman" w:hAnsi="Times New Roman" w:cs="Times New Roman"/>
          <w:sz w:val="24"/>
          <w:szCs w:val="24"/>
        </w:rPr>
        <w:t>daily</w:t>
      </w:r>
      <w:r w:rsidRPr="00042884">
        <w:rPr>
          <w:rFonts w:ascii="Times New Roman" w:hAnsi="Times New Roman" w:cs="Times New Roman"/>
          <w:sz w:val="24"/>
          <w:szCs w:val="24"/>
        </w:rPr>
        <w:t xml:space="preserve"> </w:t>
      </w:r>
      <w:r>
        <w:rPr>
          <w:rFonts w:ascii="Times New Roman" w:hAnsi="Times New Roman" w:cs="Times New Roman"/>
          <w:sz w:val="24"/>
          <w:szCs w:val="24"/>
        </w:rPr>
        <w:t>payments</w:t>
      </w:r>
      <w:r w:rsidRPr="00042884">
        <w:rPr>
          <w:rFonts w:ascii="Times New Roman" w:hAnsi="Times New Roman" w:cs="Times New Roman"/>
          <w:sz w:val="24"/>
          <w:szCs w:val="24"/>
        </w:rPr>
        <w:t xml:space="preserve">, the firm </w:t>
      </w:r>
      <w:r>
        <w:rPr>
          <w:rFonts w:ascii="Times New Roman" w:hAnsi="Times New Roman" w:cs="Times New Roman"/>
          <w:sz w:val="24"/>
          <w:szCs w:val="24"/>
        </w:rPr>
        <w:t xml:space="preserve">might need to </w:t>
      </w:r>
      <w:r w:rsidRPr="00042884">
        <w:rPr>
          <w:rFonts w:ascii="Times New Roman" w:hAnsi="Times New Roman" w:cs="Times New Roman"/>
          <w:sz w:val="24"/>
          <w:szCs w:val="24"/>
        </w:rPr>
        <w:t xml:space="preserve">issue equity to cover the deficit. If </w:t>
      </w:r>
      <w:r>
        <w:rPr>
          <w:rFonts w:ascii="Times New Roman" w:hAnsi="Times New Roman" w:cs="Times New Roman"/>
          <w:sz w:val="24"/>
          <w:szCs w:val="24"/>
        </w:rPr>
        <w:t>shareholder</w:t>
      </w:r>
      <w:r w:rsidRPr="00042884">
        <w:rPr>
          <w:rFonts w:ascii="Times New Roman" w:hAnsi="Times New Roman" w:cs="Times New Roman"/>
          <w:sz w:val="24"/>
          <w:szCs w:val="24"/>
        </w:rPr>
        <w:t xml:space="preserve">s are no longer keen to </w:t>
      </w:r>
      <w:r>
        <w:rPr>
          <w:rFonts w:ascii="Times New Roman" w:hAnsi="Times New Roman" w:cs="Times New Roman"/>
          <w:sz w:val="24"/>
          <w:szCs w:val="24"/>
        </w:rPr>
        <w:t>pump in</w:t>
      </w:r>
      <w:r w:rsidRPr="00042884">
        <w:rPr>
          <w:rFonts w:ascii="Times New Roman" w:hAnsi="Times New Roman" w:cs="Times New Roman"/>
          <w:sz w:val="24"/>
          <w:szCs w:val="24"/>
        </w:rPr>
        <w:t xml:space="preserve"> </w:t>
      </w:r>
      <w:r>
        <w:rPr>
          <w:rFonts w:ascii="Times New Roman" w:hAnsi="Times New Roman" w:cs="Times New Roman"/>
          <w:sz w:val="24"/>
          <w:szCs w:val="24"/>
        </w:rPr>
        <w:t>additional</w:t>
      </w:r>
      <w:r w:rsidRPr="00042884">
        <w:rPr>
          <w:rFonts w:ascii="Times New Roman" w:hAnsi="Times New Roman" w:cs="Times New Roman"/>
          <w:sz w:val="24"/>
          <w:szCs w:val="24"/>
        </w:rPr>
        <w:t xml:space="preserve"> capital, the firm defaults (Chen, 2010).</w:t>
      </w:r>
      <w:r>
        <w:rPr>
          <w:rFonts w:ascii="Times New Roman" w:hAnsi="Times New Roman" w:cs="Times New Roman"/>
          <w:sz w:val="24"/>
          <w:szCs w:val="24"/>
        </w:rPr>
        <w:t xml:space="preserve"> Therefore, low cash holding firms with relatively weak internal cash reserves are more sensitive to changes in the liquidity risk factor. As firms need more cash to pay off the increase in daily transactional needs and short term obligations, the cash ratio of a particular firm has to be adjusted to a higher proportion. Since high cash holding firms always have a higher amount of ready funds on hand, the response of the cash ratio towards the rise in liquidity risk is lower.</w:t>
      </w:r>
    </w:p>
    <w:p w:rsidR="004116D4" w:rsidRDefault="004116D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coefficients of the repayment ability factor are quite similar for high cash holding firms</w:t>
      </w:r>
      <w:r w:rsidRPr="007935D3">
        <w:rPr>
          <w:rFonts w:ascii="Times New Roman" w:hAnsi="Times New Roman" w:cs="Times New Roman"/>
          <w:sz w:val="24"/>
          <w:szCs w:val="24"/>
        </w:rPr>
        <w:t xml:space="preserve"> </w:t>
      </w:r>
      <w:r>
        <w:rPr>
          <w:rFonts w:ascii="Times New Roman" w:hAnsi="Times New Roman" w:cs="Times New Roman"/>
          <w:sz w:val="24"/>
          <w:szCs w:val="24"/>
        </w:rPr>
        <w:t>and low cash holding firms, which are 0.0010 and 0.0007 in model 1 respectively. The coefficients of repayment ability factor for high cash holding firms is decreasing to 0.0005 in Model 2, after including the effect of macroeconomic risk factors. Therefore the significance of the repayment ability factor in explaining the cash ratio in high cash holding firms is subject to changes in macroeconomic risk factors. High cash holding firms would be concerned about the changes in interest rate, and the amount of interest payments may burden their cash flow when they experience an unexpected need for cash reserves during bad economic times, a situation that is out of their control.</w:t>
      </w:r>
    </w:p>
    <w:p w:rsidR="004116D4" w:rsidRDefault="00E51CDE"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16D4">
        <w:rPr>
          <w:rFonts w:ascii="Times New Roman" w:hAnsi="Times New Roman" w:cs="Times New Roman"/>
          <w:sz w:val="24"/>
          <w:szCs w:val="24"/>
        </w:rPr>
        <w:t>The change of macroeconomic risk factors might increase the probability of high cash holding firms to increase their debt and leverage. Furthermore, the uncertainty in inflation and currency risk factors might negatively impact on the revenue of the firms which used in serving the interest payment. However, the cash ratio of low cash holding firms is always sensitive to interest rate, no matter how bad the economic conditions are. As they rely on debt in financing their short-term and long-term obligations, cash ratio of low cash holding firms are adjusting according to the remain certain level of repayment ability. Any changes in interest payment will turn them into default when they fail to cover their interest payments. Therefore, the awareness of cash ratio on interest expenses obligation is very strong for low cash holding firms.</w:t>
      </w:r>
    </w:p>
    <w:p w:rsidR="004116D4" w:rsidRPr="001F52F3" w:rsidRDefault="00E51CDE" w:rsidP="00EF35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116D4" w:rsidRPr="001F52F3">
        <w:rPr>
          <w:rFonts w:ascii="Times New Roman" w:hAnsi="Times New Roman" w:cs="Times New Roman"/>
          <w:sz w:val="24"/>
          <w:szCs w:val="24"/>
        </w:rPr>
        <w:t xml:space="preserve">he solvency factor is significant related with cash ratio. As mentioned in the previous portion, since solvency risk is measured by long-term assets and liability, cash holdings, which are seen as part of current liquid assets, hardly contribute to any explanation of the cash ratio as tested in the other panel regression (as shown in appendix). Thus the significance of solvency risk in the GMM estimation shows that solvency risks do provide some explanation of cash ratio, </w:t>
      </w:r>
      <w:r w:rsidR="004116D4" w:rsidRPr="001F52F3">
        <w:rPr>
          <w:rFonts w:ascii="Times New Roman" w:hAnsi="Times New Roman" w:cs="Times New Roman"/>
          <w:sz w:val="24"/>
          <w:szCs w:val="24"/>
        </w:rPr>
        <w:lastRenderedPageBreak/>
        <w:t>and the impact of the lagged cash ratio plays an important role in enhancing this evidence. Solvency factor is measured by equity over-total-assets, issuance new equity which seen as source of external funding has a stronger explanation of cash holding for low cash holding firms. However, the significance of solvency factor is very weak for high cash holding firms which are less likely to obtain the external funding through equity issuance.</w:t>
      </w:r>
    </w:p>
    <w:p w:rsidR="004116D4" w:rsidRDefault="004116D4" w:rsidP="00EF351B">
      <w:pPr>
        <w:spacing w:line="480" w:lineRule="auto"/>
        <w:ind w:firstLine="720"/>
        <w:jc w:val="both"/>
        <w:rPr>
          <w:rFonts w:ascii="Times New Roman" w:hAnsi="Times New Roman" w:cs="Times New Roman"/>
          <w:sz w:val="24"/>
          <w:szCs w:val="24"/>
        </w:rPr>
      </w:pPr>
      <w:r w:rsidRPr="001F52F3">
        <w:rPr>
          <w:rFonts w:ascii="Times New Roman" w:hAnsi="Times New Roman" w:cs="Times New Roman"/>
          <w:sz w:val="24"/>
          <w:szCs w:val="24"/>
        </w:rPr>
        <w:t xml:space="preserve">High cash holding firms are more likely to be explained by macroeconomic risk factors which are currency and inflation risk factors. This evidence shows that high cash holding firms in KOSE are likely to be greatly exposed to changes in macroeconomic risk. The coefficient of inflation risk which is 13.4356 with a negative sign shows that high cash holding firms will keep less cash reserves when inflation risk increases, in order to avoid depreciation on cash holding value. High inflation erodes the purchasing power of the cash on hand. Firms with high cash holing are rather to invest on assets or investment to shelter cash reserve from inflation. This finding tallies with those of </w:t>
      </w:r>
      <w:r w:rsidRPr="001F52F3">
        <w:rPr>
          <w:rFonts w:ascii="Times New Roman" w:hAnsi="Times New Roman" w:cs="Times New Roman"/>
          <w:sz w:val="24"/>
          <w:szCs w:val="24"/>
        </w:rPr>
        <w:fldChar w:fldCharType="begin"/>
      </w:r>
      <w:r w:rsidRPr="001F52F3">
        <w:rPr>
          <w:rFonts w:ascii="Times New Roman" w:hAnsi="Times New Roman" w:cs="Times New Roman"/>
          <w:sz w:val="24"/>
          <w:szCs w:val="24"/>
        </w:rPr>
        <w:instrText xml:space="preserve"> ADDIN EN.CITE &lt;EndNote&gt;&lt;Cite&gt;&lt;Author&gt;Kim&lt;/Author&gt;&lt;Year&gt;1998&lt;/Year&gt;&lt;RecNum&gt;66&lt;/RecNum&gt;&lt;record&gt;&lt;rec-number&gt;66&lt;/rec-number&gt;&lt;foreign-keys&gt;&lt;key app="EN" db-id="f0vtavpsdw9aaierxd3vf0fgs0rzz0zw9dww"&gt;66&lt;/key&gt;&lt;/foreign-keys&gt;&lt;ref-type name="Journal Article"&gt;17&lt;/ref-type&gt;&lt;contributors&gt;&lt;authors&gt;&lt;author&gt;Kim, C.S.,&lt;/author&gt;&lt;author&gt;Mauer, D.C.,&lt;/author&gt;&lt;author&gt;Sherman, A.E.&lt;/author&gt;&lt;/authors&gt;&lt;/contributors&gt;&lt;titles&gt;&lt;title&gt;The determinants of corporate liquidity: theory and evidence&lt;/title&gt;&lt;secondary-title&gt;Journal of Fianncial and Quantitative Analysis&lt;/secondary-title&gt;&lt;/titles&gt;&lt;periodical&gt;&lt;full-title&gt;Journal of Fianncial and Quantitative Analysis&lt;/full-title&gt;&lt;/periodical&gt;&lt;volume&gt;33&lt;/volume&gt;&lt;number&gt;pages 335 - 359&lt;/number&gt;&lt;dates&gt;&lt;year&gt;1998&lt;/year&gt;&lt;/dates&gt;&lt;urls&gt;&lt;/urls&gt;&lt;/record&gt;&lt;/Cite&gt;&lt;Cite&gt;&lt;Author&gt;Natke&lt;/Author&gt;&lt;Year&gt;2001&lt;/Year&gt;&lt;RecNum&gt;96&lt;/RecNum&gt;&lt;record&gt;&lt;rec-number&gt;96&lt;/rec-number&gt;&lt;foreign-keys&gt;&lt;key app="EN" db-id="f0vtavpsdw9aaierxd3vf0fgs0rzz0zw9dww"&gt;96&lt;/key&gt;&lt;/foreign-keys&gt;&lt;ref-type name="Journal Article"&gt;17&lt;/ref-type&gt;&lt;contributors&gt;&lt;authors&gt;&lt;author&gt;Natke, P.&lt;/author&gt;&lt;/authors&gt;&lt;/contributors&gt;&lt;titles&gt;&lt;title&gt;The firm demand for liquid assets in an inflationary environment&lt;/title&gt;&lt;secondary-title&gt;Applied Economics&lt;/secondary-title&gt;&lt;/titles&gt;&lt;periodical&gt;&lt;full-title&gt;Applied Economics&lt;/full-title&gt;&lt;/periodical&gt;&lt;pages&gt;pages 427 - 436&lt;/pages&gt;&lt;volume&gt;33&lt;/volume&gt;&lt;number&gt;4&lt;/number&gt;&lt;dates&gt;&lt;year&gt;2001&lt;/year&gt;&lt;/dates&gt;&lt;urls&gt;&lt;/urls&gt;&lt;/record&gt;&lt;/Cite&gt;&lt;/EndNote&gt;</w:instrText>
      </w:r>
      <w:r w:rsidRPr="001F52F3">
        <w:rPr>
          <w:rFonts w:ascii="Times New Roman" w:hAnsi="Times New Roman" w:cs="Times New Roman"/>
          <w:sz w:val="24"/>
          <w:szCs w:val="24"/>
        </w:rPr>
        <w:fldChar w:fldCharType="separate"/>
      </w:r>
      <w:r w:rsidRPr="001F52F3">
        <w:rPr>
          <w:rFonts w:ascii="Times New Roman" w:hAnsi="Times New Roman" w:cs="Times New Roman"/>
          <w:sz w:val="24"/>
          <w:szCs w:val="24"/>
        </w:rPr>
        <w:t>Kim et al. (1998) and Natke (2001)</w:t>
      </w:r>
      <w:r w:rsidRPr="001F52F3">
        <w:rPr>
          <w:rFonts w:ascii="Times New Roman" w:hAnsi="Times New Roman" w:cs="Times New Roman"/>
          <w:sz w:val="24"/>
          <w:szCs w:val="24"/>
        </w:rPr>
        <w:fldChar w:fldCharType="end"/>
      </w:r>
      <w:r w:rsidRPr="001F52F3">
        <w:rPr>
          <w:rFonts w:ascii="Times New Roman" w:hAnsi="Times New Roman" w:cs="Times New Roman"/>
          <w:sz w:val="24"/>
          <w:szCs w:val="24"/>
        </w:rPr>
        <w:t>. The cash ratio of low cash holding firms are unexplainable by inflation risk because the cash on hand is only sufficient for daily transactions. Therefore the need of adjusting cash ratio according to the change in inflation risk do not existed for low cash holding firms.</w:t>
      </w:r>
    </w:p>
    <w:p w:rsidR="004116D4" w:rsidRPr="001F52F3" w:rsidRDefault="004116D4" w:rsidP="00EF351B">
      <w:pPr>
        <w:spacing w:line="480" w:lineRule="auto"/>
        <w:ind w:firstLine="720"/>
        <w:jc w:val="both"/>
        <w:rPr>
          <w:rFonts w:ascii="Times New Roman" w:hAnsi="Times New Roman" w:cs="Times New Roman"/>
          <w:sz w:val="24"/>
          <w:szCs w:val="24"/>
        </w:rPr>
      </w:pPr>
      <w:r w:rsidRPr="001F52F3">
        <w:rPr>
          <w:rFonts w:ascii="Times New Roman" w:hAnsi="Times New Roman" w:cs="Times New Roman"/>
          <w:sz w:val="24"/>
          <w:szCs w:val="24"/>
        </w:rPr>
        <w:t xml:space="preserve">Generally firms with high cash holding have higher efficiency in internal management than in firm with low cash holding. The better in internal control on assets for firms with high cash holing aids in accumulating cash holding. Therefore firm with high cash are easier in increasing cash on hand relatively to firm with low-cash holding. This finding is consistent with the capital flight theory, indicating that the appreciation in currency will increase the holdings of cash and marketable securities. The currency risk is significant with a positive coefficient of 4.3455 for high cash holding firms shows that firms are keeping more cash holding when the </w:t>
      </w:r>
      <w:r w:rsidRPr="001F52F3">
        <w:rPr>
          <w:rFonts w:ascii="Times New Roman" w:hAnsi="Times New Roman" w:cs="Times New Roman"/>
          <w:sz w:val="24"/>
          <w:szCs w:val="24"/>
        </w:rPr>
        <w:lastRenderedPageBreak/>
        <w:t>currency risk increases. As mentioned in the study of Rita (1980), the liquid fund will move in the same direction as trends in the exchange markets. However, the currency risk is insignificant for low cash holding firm due to restrictions in liquidity management. Firms with low cash holding are unable to increase and adjust the cash ratio immediately as the firm’s liquidity tie up with other component such as inventory and account receivables.</w:t>
      </w:r>
    </w:p>
    <w:p w:rsidR="004116D4" w:rsidRDefault="004116D4" w:rsidP="00EF351B">
      <w:pPr>
        <w:tabs>
          <w:tab w:val="left" w:pos="8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Macroeconomic risk factors might be the main reason or source of risk that encourages high cash holding firms to hold higher liquidity in order to manage unexpected changes; however, macroeconomic risk is usually out of their control.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Yet the effects of those risk factors have been restricted in the fixed-effect regression; the explanation of the variables in the previous period on the current exogenous variable has been ignored. Therefore it can only reflect that it is significant after including the effect of lagged exogenous variables. The F-statist</w:t>
      </w:r>
      <w:r w:rsidR="00587D2F">
        <w:rPr>
          <w:rFonts w:ascii="Times New Roman" w:hAnsi="Times New Roman" w:cs="Times New Roman"/>
          <w:sz w:val="24"/>
          <w:szCs w:val="24"/>
        </w:rPr>
        <w:t xml:space="preserve">ics for all models in Table </w:t>
      </w:r>
      <w:r>
        <w:rPr>
          <w:rFonts w:ascii="Times New Roman" w:hAnsi="Times New Roman" w:cs="Times New Roman"/>
          <w:sz w:val="24"/>
          <w:szCs w:val="24"/>
        </w:rPr>
        <w:t>3 are significant at 0.01.</w:t>
      </w:r>
    </w:p>
    <w:p w:rsidR="004116D4" w:rsidRPr="00587D2F" w:rsidRDefault="004116D4" w:rsidP="00587D2F">
      <w:pPr>
        <w:pStyle w:val="ListParagraph"/>
        <w:numPr>
          <w:ilvl w:val="0"/>
          <w:numId w:val="28"/>
        </w:numPr>
        <w:tabs>
          <w:tab w:val="left" w:pos="810"/>
        </w:tabs>
        <w:spacing w:line="480" w:lineRule="auto"/>
        <w:rPr>
          <w:rFonts w:ascii="Times New Roman" w:hAnsi="Times New Roman" w:cs="Times New Roman"/>
          <w:b/>
          <w:sz w:val="24"/>
          <w:szCs w:val="24"/>
        </w:rPr>
      </w:pPr>
      <w:r w:rsidRPr="00180A10">
        <w:rPr>
          <w:rFonts w:ascii="Times New Roman" w:hAnsi="Times New Roman" w:cs="Times New Roman"/>
          <w:b/>
          <w:sz w:val="24"/>
          <w:szCs w:val="24"/>
        </w:rPr>
        <w:t>Results for GMM Estimation of Financial Ratio and Risk Factors on Cash Ratio for Bursa Malaysia</w:t>
      </w:r>
    </w:p>
    <w:p w:rsidR="004116D4" w:rsidRDefault="00587D2F"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in Table </w:t>
      </w:r>
      <w:r w:rsidR="004116D4">
        <w:rPr>
          <w:rFonts w:ascii="Times New Roman" w:hAnsi="Times New Roman" w:cs="Times New Roman"/>
          <w:sz w:val="24"/>
          <w:szCs w:val="24"/>
        </w:rPr>
        <w:t xml:space="preserve">4 summarize all findings of the GMM estimation for the listed firms in Bursa Malaysia, which show that the lagged cash ratio is part of the endogenous variables in this model, and is statistically significant at 0.1 with a positive sign. It shows that a dynamic relationship exists in this model; therefore the GMM estimation aids in enhancing the estimation of this regression. The coefficient of the lagged cash ratio for the listed firms in Bursa Malaysia is slightly higher compared will the listed firms in KOSE, exhibiting that the cash ratios for the </w:t>
      </w:r>
      <w:r w:rsidR="004116D4">
        <w:rPr>
          <w:rFonts w:ascii="Times New Roman" w:hAnsi="Times New Roman" w:cs="Times New Roman"/>
          <w:sz w:val="24"/>
          <w:szCs w:val="24"/>
        </w:rPr>
        <w:lastRenderedPageBreak/>
        <w:t xml:space="preserve">listed firms in Bursa Malaysia are more likely to be affected by the lagged cash ratio, and in a relatively higher proportion. </w:t>
      </w:r>
    </w:p>
    <w:p w:rsidR="004116D4" w:rsidRPr="00700370" w:rsidRDefault="00E51CDE"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16D4">
        <w:rPr>
          <w:rFonts w:ascii="Times New Roman" w:hAnsi="Times New Roman" w:cs="Times New Roman"/>
          <w:sz w:val="24"/>
          <w:szCs w:val="24"/>
        </w:rPr>
        <w:t xml:space="preserve">The liquidity and interest risk factors of the listed firms in Bursa Malaysia are statistically significant for all categories with a positive sign. Higher-cash firms have a higher coefficient of 0.0334 for the liquidity risk factor compared with the coefficient of low cash holding firms at 0.0055 in Bursa Malaysia. Relatively, high cash holding firms in Bursa Malaysia behave in a more risk-adverse manner than high cash holding firms in KOSE; the conservatism practice leads to a high response toward the increase of liquidity risk. As discussed in the earlier section, the coefficient of the liquidity factor indicates the response of firms towards the adjustment on cash ratio. The sensitivities of high cash holding firms and low cash holding firms toward liquidity factor are dissimilar with firms in KOSE. Somehow, high cash holding firms are seen as more capable in increasing cash by supportive cash management practices in their organization; thus the coefficient of the liquidity factor is higher for high cash holding firms that act conservative toward the possible damage for firms with high cash holding in Bursa Malaysia. </w:t>
      </w:r>
    </w:p>
    <w:p w:rsidR="004116D4" w:rsidRDefault="004116D4" w:rsidP="00EF351B">
      <w:pPr>
        <w:tabs>
          <w:tab w:val="left" w:pos="810"/>
        </w:tabs>
        <w:spacing w:line="480" w:lineRule="auto"/>
        <w:ind w:firstLine="709"/>
        <w:jc w:val="both"/>
        <w:rPr>
          <w:rFonts w:ascii="Times New Roman" w:hAnsi="Times New Roman" w:cs="Times New Roman"/>
          <w:sz w:val="24"/>
          <w:szCs w:val="24"/>
        </w:rPr>
      </w:pPr>
    </w:p>
    <w:p w:rsidR="004116D4" w:rsidRDefault="004116D4" w:rsidP="004116D4">
      <w:pPr>
        <w:tabs>
          <w:tab w:val="left" w:pos="810"/>
        </w:tabs>
        <w:spacing w:line="240" w:lineRule="auto"/>
        <w:ind w:firstLine="709"/>
        <w:jc w:val="both"/>
        <w:rPr>
          <w:rFonts w:ascii="Times New Roman" w:hAnsi="Times New Roman" w:cs="Times New Roman"/>
          <w:sz w:val="24"/>
          <w:szCs w:val="24"/>
        </w:rPr>
      </w:pPr>
    </w:p>
    <w:p w:rsidR="00587D2F" w:rsidRDefault="00587D2F" w:rsidP="004116D4">
      <w:pPr>
        <w:tabs>
          <w:tab w:val="left" w:pos="810"/>
        </w:tabs>
        <w:spacing w:line="240" w:lineRule="auto"/>
        <w:ind w:firstLine="709"/>
        <w:jc w:val="both"/>
        <w:rPr>
          <w:rFonts w:ascii="Times New Roman" w:hAnsi="Times New Roman" w:cs="Times New Roman"/>
          <w:sz w:val="24"/>
          <w:szCs w:val="24"/>
        </w:rPr>
      </w:pPr>
    </w:p>
    <w:p w:rsidR="00587D2F" w:rsidRDefault="00587D2F" w:rsidP="004116D4">
      <w:pPr>
        <w:tabs>
          <w:tab w:val="left" w:pos="810"/>
        </w:tabs>
        <w:spacing w:line="240" w:lineRule="auto"/>
        <w:ind w:firstLine="709"/>
        <w:jc w:val="both"/>
        <w:rPr>
          <w:rFonts w:ascii="Times New Roman" w:hAnsi="Times New Roman" w:cs="Times New Roman"/>
          <w:sz w:val="24"/>
          <w:szCs w:val="24"/>
        </w:rPr>
      </w:pPr>
    </w:p>
    <w:p w:rsidR="00587D2F" w:rsidRDefault="00587D2F" w:rsidP="004116D4">
      <w:pPr>
        <w:tabs>
          <w:tab w:val="left" w:pos="810"/>
        </w:tabs>
        <w:spacing w:line="240" w:lineRule="auto"/>
        <w:ind w:firstLine="709"/>
        <w:jc w:val="both"/>
        <w:rPr>
          <w:rFonts w:ascii="Times New Roman" w:hAnsi="Times New Roman" w:cs="Times New Roman"/>
          <w:sz w:val="24"/>
          <w:szCs w:val="24"/>
        </w:rPr>
      </w:pPr>
    </w:p>
    <w:p w:rsidR="00587D2F" w:rsidRDefault="00587D2F" w:rsidP="004116D4">
      <w:pPr>
        <w:tabs>
          <w:tab w:val="left" w:pos="810"/>
        </w:tabs>
        <w:spacing w:line="240" w:lineRule="auto"/>
        <w:ind w:firstLine="709"/>
        <w:jc w:val="both"/>
        <w:rPr>
          <w:rFonts w:ascii="Times New Roman" w:hAnsi="Times New Roman" w:cs="Times New Roman"/>
          <w:sz w:val="24"/>
          <w:szCs w:val="24"/>
        </w:rPr>
      </w:pPr>
    </w:p>
    <w:p w:rsidR="00587D2F" w:rsidRDefault="00587D2F" w:rsidP="004116D4">
      <w:pPr>
        <w:tabs>
          <w:tab w:val="left" w:pos="810"/>
        </w:tabs>
        <w:spacing w:line="240" w:lineRule="auto"/>
        <w:ind w:firstLine="709"/>
        <w:jc w:val="both"/>
        <w:rPr>
          <w:rFonts w:ascii="Times New Roman" w:hAnsi="Times New Roman" w:cs="Times New Roman"/>
          <w:sz w:val="24"/>
          <w:szCs w:val="24"/>
        </w:rPr>
      </w:pPr>
    </w:p>
    <w:p w:rsidR="004116D4" w:rsidRDefault="004116D4" w:rsidP="004116D4">
      <w:pPr>
        <w:tabs>
          <w:tab w:val="left" w:pos="810"/>
        </w:tabs>
        <w:spacing w:line="240" w:lineRule="auto"/>
        <w:ind w:firstLine="709"/>
        <w:jc w:val="both"/>
        <w:rPr>
          <w:rFonts w:ascii="Times New Roman" w:hAnsi="Times New Roman" w:cs="Times New Roman"/>
          <w:sz w:val="24"/>
          <w:szCs w:val="24"/>
        </w:rPr>
      </w:pPr>
    </w:p>
    <w:p w:rsidR="004116D4" w:rsidRDefault="004116D4" w:rsidP="004116D4">
      <w:pPr>
        <w:tabs>
          <w:tab w:val="left" w:pos="81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w:t>
      </w:r>
      <w:r w:rsidRPr="00B34BE6">
        <w:rPr>
          <w:rFonts w:ascii="Times New Roman" w:hAnsi="Times New Roman" w:cs="Times New Roman"/>
          <w:b/>
          <w:sz w:val="24"/>
          <w:szCs w:val="24"/>
        </w:rPr>
        <w:t xml:space="preserve">: GMM </w:t>
      </w:r>
      <w:r>
        <w:rPr>
          <w:rFonts w:ascii="Times New Roman" w:hAnsi="Times New Roman" w:cs="Times New Roman"/>
          <w:b/>
          <w:sz w:val="24"/>
          <w:szCs w:val="24"/>
        </w:rPr>
        <w:t>e</w:t>
      </w:r>
      <w:r w:rsidRPr="00B34BE6">
        <w:rPr>
          <w:rFonts w:ascii="Times New Roman" w:hAnsi="Times New Roman" w:cs="Times New Roman"/>
          <w:b/>
          <w:sz w:val="24"/>
          <w:szCs w:val="24"/>
        </w:rPr>
        <w:t xml:space="preserve">stimation </w:t>
      </w:r>
      <w:r>
        <w:rPr>
          <w:rFonts w:ascii="Times New Roman" w:hAnsi="Times New Roman" w:cs="Times New Roman"/>
          <w:b/>
          <w:sz w:val="24"/>
          <w:szCs w:val="24"/>
        </w:rPr>
        <w:t>of</w:t>
      </w:r>
      <w:r w:rsidRPr="00B34BE6">
        <w:rPr>
          <w:rFonts w:ascii="Times New Roman" w:hAnsi="Times New Roman" w:cs="Times New Roman"/>
          <w:b/>
          <w:sz w:val="24"/>
          <w:szCs w:val="24"/>
        </w:rPr>
        <w:t xml:space="preserve"> </w:t>
      </w:r>
      <w:r>
        <w:rPr>
          <w:rFonts w:ascii="Times New Roman" w:hAnsi="Times New Roman" w:cs="Times New Roman"/>
          <w:b/>
          <w:sz w:val="24"/>
          <w:szCs w:val="24"/>
        </w:rPr>
        <w:t>i</w:t>
      </w:r>
      <w:r w:rsidRPr="00B34BE6">
        <w:rPr>
          <w:rFonts w:ascii="Times New Roman" w:hAnsi="Times New Roman" w:cs="Times New Roman"/>
          <w:b/>
          <w:sz w:val="24"/>
          <w:szCs w:val="24"/>
        </w:rPr>
        <w:t xml:space="preserve">mpact of </w:t>
      </w:r>
      <w:r>
        <w:rPr>
          <w:rFonts w:ascii="Times New Roman" w:hAnsi="Times New Roman" w:cs="Times New Roman"/>
          <w:b/>
          <w:sz w:val="24"/>
          <w:szCs w:val="24"/>
        </w:rPr>
        <w:t>firm-l</w:t>
      </w:r>
      <w:r w:rsidRPr="00B34BE6">
        <w:rPr>
          <w:rFonts w:ascii="Times New Roman" w:hAnsi="Times New Roman" w:cs="Times New Roman"/>
          <w:b/>
          <w:sz w:val="24"/>
          <w:szCs w:val="24"/>
        </w:rPr>
        <w:t xml:space="preserve">evel and </w:t>
      </w:r>
      <w:r>
        <w:rPr>
          <w:rFonts w:ascii="Times New Roman" w:hAnsi="Times New Roman" w:cs="Times New Roman"/>
          <w:b/>
          <w:sz w:val="24"/>
          <w:szCs w:val="24"/>
        </w:rPr>
        <w:t>m</w:t>
      </w:r>
      <w:r w:rsidRPr="00B34BE6">
        <w:rPr>
          <w:rFonts w:ascii="Times New Roman" w:hAnsi="Times New Roman" w:cs="Times New Roman"/>
          <w:b/>
          <w:sz w:val="24"/>
          <w:szCs w:val="24"/>
        </w:rPr>
        <w:t xml:space="preserve">acroeconomic </w:t>
      </w:r>
      <w:r>
        <w:rPr>
          <w:rFonts w:ascii="Times New Roman" w:hAnsi="Times New Roman" w:cs="Times New Roman"/>
          <w:b/>
          <w:sz w:val="24"/>
          <w:szCs w:val="24"/>
        </w:rPr>
        <w:t>factors on</w:t>
      </w:r>
      <w:r w:rsidRPr="00B34BE6">
        <w:rPr>
          <w:rFonts w:ascii="Times New Roman" w:hAnsi="Times New Roman" w:cs="Times New Roman"/>
          <w:b/>
          <w:sz w:val="24"/>
          <w:szCs w:val="24"/>
        </w:rPr>
        <w:t xml:space="preserve"> </w:t>
      </w:r>
      <w:r>
        <w:rPr>
          <w:rFonts w:ascii="Times New Roman" w:hAnsi="Times New Roman" w:cs="Times New Roman"/>
          <w:b/>
          <w:sz w:val="24"/>
          <w:szCs w:val="24"/>
        </w:rPr>
        <w:t>c</w:t>
      </w:r>
      <w:r w:rsidRPr="00B34BE6">
        <w:rPr>
          <w:rFonts w:ascii="Times New Roman" w:hAnsi="Times New Roman" w:cs="Times New Roman"/>
          <w:b/>
          <w:sz w:val="24"/>
          <w:szCs w:val="24"/>
        </w:rPr>
        <w:t xml:space="preserve">ash </w:t>
      </w:r>
      <w:r>
        <w:rPr>
          <w:rFonts w:ascii="Times New Roman" w:hAnsi="Times New Roman" w:cs="Times New Roman"/>
          <w:b/>
          <w:sz w:val="24"/>
          <w:szCs w:val="24"/>
        </w:rPr>
        <w:t>h</w:t>
      </w:r>
      <w:r w:rsidRPr="00B34BE6">
        <w:rPr>
          <w:rFonts w:ascii="Times New Roman" w:hAnsi="Times New Roman" w:cs="Times New Roman"/>
          <w:b/>
          <w:sz w:val="24"/>
          <w:szCs w:val="24"/>
        </w:rPr>
        <w:t xml:space="preserve">oldings </w:t>
      </w:r>
      <w:r>
        <w:rPr>
          <w:rFonts w:ascii="Times New Roman" w:hAnsi="Times New Roman" w:cs="Times New Roman"/>
          <w:b/>
          <w:sz w:val="24"/>
          <w:szCs w:val="24"/>
        </w:rPr>
        <w:t>r</w:t>
      </w:r>
      <w:r w:rsidRPr="00B34BE6">
        <w:rPr>
          <w:rFonts w:ascii="Times New Roman" w:hAnsi="Times New Roman" w:cs="Times New Roman"/>
          <w:b/>
          <w:sz w:val="24"/>
          <w:szCs w:val="24"/>
        </w:rPr>
        <w:t xml:space="preserve">atio for </w:t>
      </w:r>
      <w:r>
        <w:rPr>
          <w:rFonts w:ascii="Times New Roman" w:hAnsi="Times New Roman" w:cs="Times New Roman"/>
          <w:b/>
          <w:sz w:val="24"/>
          <w:szCs w:val="24"/>
        </w:rPr>
        <w:t>l</w:t>
      </w:r>
      <w:r w:rsidRPr="00B34BE6">
        <w:rPr>
          <w:rFonts w:ascii="Times New Roman" w:hAnsi="Times New Roman" w:cs="Times New Roman"/>
          <w:b/>
          <w:sz w:val="24"/>
          <w:szCs w:val="24"/>
        </w:rPr>
        <w:t xml:space="preserve">isted </w:t>
      </w:r>
      <w:r>
        <w:rPr>
          <w:rFonts w:ascii="Times New Roman" w:hAnsi="Times New Roman" w:cs="Times New Roman"/>
          <w:b/>
          <w:sz w:val="24"/>
          <w:szCs w:val="24"/>
        </w:rPr>
        <w:t>f</w:t>
      </w:r>
      <w:r w:rsidRPr="00B34BE6">
        <w:rPr>
          <w:rFonts w:ascii="Times New Roman" w:hAnsi="Times New Roman" w:cs="Times New Roman"/>
          <w:b/>
          <w:sz w:val="24"/>
          <w:szCs w:val="24"/>
        </w:rPr>
        <w:t xml:space="preserve">irms in Bursa Malaysia </w:t>
      </w:r>
      <w:r>
        <w:rPr>
          <w:rFonts w:ascii="Times New Roman" w:hAnsi="Times New Roman" w:cs="Times New Roman"/>
          <w:b/>
          <w:sz w:val="24"/>
          <w:szCs w:val="24"/>
        </w:rPr>
        <w:t>s</w:t>
      </w:r>
      <w:r w:rsidRPr="00B34BE6">
        <w:rPr>
          <w:rFonts w:ascii="Times New Roman" w:hAnsi="Times New Roman" w:cs="Times New Roman"/>
          <w:b/>
          <w:sz w:val="24"/>
          <w:szCs w:val="24"/>
        </w:rPr>
        <w:t xml:space="preserve">tarting </w:t>
      </w:r>
      <w:r>
        <w:rPr>
          <w:rFonts w:ascii="Times New Roman" w:hAnsi="Times New Roman" w:cs="Times New Roman"/>
          <w:b/>
          <w:sz w:val="24"/>
          <w:szCs w:val="24"/>
        </w:rPr>
        <w:t>f</w:t>
      </w:r>
      <w:r w:rsidRPr="00B34BE6">
        <w:rPr>
          <w:rFonts w:ascii="Times New Roman" w:hAnsi="Times New Roman" w:cs="Times New Roman"/>
          <w:b/>
          <w:sz w:val="24"/>
          <w:szCs w:val="24"/>
        </w:rPr>
        <w:t xml:space="preserve">rom 2001 to 2012 </w:t>
      </w:r>
      <w:r>
        <w:rPr>
          <w:rFonts w:ascii="Times New Roman" w:hAnsi="Times New Roman" w:cs="Times New Roman"/>
          <w:b/>
          <w:sz w:val="24"/>
          <w:szCs w:val="24"/>
        </w:rPr>
        <w:t>using two-</w:t>
      </w:r>
      <w:r w:rsidRPr="00B34BE6">
        <w:rPr>
          <w:rFonts w:ascii="Times New Roman" w:hAnsi="Times New Roman" w:cs="Times New Roman"/>
          <w:b/>
          <w:sz w:val="24"/>
          <w:szCs w:val="24"/>
        </w:rPr>
        <w:t>year</w:t>
      </w:r>
      <w:r>
        <w:rPr>
          <w:rFonts w:ascii="Times New Roman" w:hAnsi="Times New Roman" w:cs="Times New Roman"/>
          <w:b/>
          <w:sz w:val="24"/>
          <w:szCs w:val="24"/>
        </w:rPr>
        <w:t xml:space="preserve"> m</w:t>
      </w:r>
      <w:r w:rsidRPr="00B34BE6">
        <w:rPr>
          <w:rFonts w:ascii="Times New Roman" w:hAnsi="Times New Roman" w:cs="Times New Roman"/>
          <w:b/>
          <w:sz w:val="24"/>
          <w:szCs w:val="24"/>
        </w:rPr>
        <w:t xml:space="preserve">oving </w:t>
      </w:r>
      <w:r>
        <w:rPr>
          <w:rFonts w:ascii="Times New Roman" w:hAnsi="Times New Roman" w:cs="Times New Roman"/>
          <w:b/>
          <w:sz w:val="24"/>
          <w:szCs w:val="24"/>
        </w:rPr>
        <w:t>a</w:t>
      </w:r>
      <w:r w:rsidRPr="00B34BE6">
        <w:rPr>
          <w:rFonts w:ascii="Times New Roman" w:hAnsi="Times New Roman" w:cs="Times New Roman"/>
          <w:b/>
          <w:sz w:val="24"/>
          <w:szCs w:val="24"/>
        </w:rPr>
        <w:t>verage</w:t>
      </w:r>
    </w:p>
    <w:p w:rsidR="004116D4" w:rsidRPr="00592249" w:rsidRDefault="004116D4" w:rsidP="004116D4">
      <w:pPr>
        <w:tabs>
          <w:tab w:val="left" w:pos="810"/>
        </w:tabs>
        <w:spacing w:line="240" w:lineRule="auto"/>
        <w:jc w:val="both"/>
        <w:rPr>
          <w:rFonts w:ascii="Times New Roman" w:hAnsi="Times New Roman" w:cs="Times New Roman"/>
          <w:b/>
          <w:sz w:val="20"/>
          <w:szCs w:val="20"/>
        </w:rPr>
      </w:pPr>
      <w:r w:rsidRPr="00C651C1">
        <w:rPr>
          <w:rFonts w:ascii="Times New Roman" w:hAnsi="Times New Roman" w:cs="Times New Roman"/>
          <w:sz w:val="20"/>
          <w:szCs w:val="20"/>
        </w:rPr>
        <w:t xml:space="preserve">This table presents the results of the dynamic effect of cash ratio in the entire sample and the two subsamples of high cash holding firms and low cash holding firms. Model 1 </w:t>
      </w:r>
      <w:proofErr w:type="gramStart"/>
      <w:r w:rsidRPr="00C651C1">
        <w:rPr>
          <w:rFonts w:ascii="Times New Roman" w:hAnsi="Times New Roman" w:cs="Times New Roman"/>
          <w:sz w:val="20"/>
          <w:szCs w:val="20"/>
        </w:rPr>
        <w:t>regresses</w:t>
      </w:r>
      <w:proofErr w:type="gramEnd"/>
      <w:r w:rsidRPr="00C651C1">
        <w:rPr>
          <w:rFonts w:ascii="Times New Roman" w:hAnsi="Times New Roman" w:cs="Times New Roman"/>
          <w:sz w:val="20"/>
          <w:szCs w:val="20"/>
        </w:rPr>
        <w:t xml:space="preserve"> the cash ratio with</w:t>
      </w:r>
      <w:r>
        <w:rPr>
          <w:rFonts w:ascii="Times New Roman" w:hAnsi="Times New Roman" w:cs="Times New Roman"/>
          <w:sz w:val="20"/>
          <w:szCs w:val="20"/>
        </w:rPr>
        <w:t xml:space="preserve"> lagged cash ratio and financial ratio</w:t>
      </w:r>
      <w:r w:rsidRPr="00C651C1">
        <w:rPr>
          <w:rFonts w:ascii="Times New Roman" w:hAnsi="Times New Roman" w:cs="Times New Roman"/>
          <w:sz w:val="20"/>
          <w:szCs w:val="20"/>
        </w:rPr>
        <w:t xml:space="preserve"> factors; macroeconomic risk factors are added to Model 2. Liquidity factor is measured by liquid assets over total assets ratio, solvency factor is estimated using equity over total assets, and repayment ability factor is calculated using EBITD over interest expenses. Inflation and currency risk factors are measured by the standard deviation of changes in monthly data for particular fiscal year. </w:t>
      </w:r>
    </w:p>
    <w:tbl>
      <w:tblPr>
        <w:tblW w:w="5234" w:type="pct"/>
        <w:tblLayout w:type="fixed"/>
        <w:tblLook w:val="04A0" w:firstRow="1" w:lastRow="0" w:firstColumn="1" w:lastColumn="0" w:noHBand="0" w:noVBand="1"/>
      </w:tblPr>
      <w:tblGrid>
        <w:gridCol w:w="877"/>
        <w:gridCol w:w="648"/>
        <w:gridCol w:w="279"/>
        <w:gridCol w:w="1311"/>
        <w:gridCol w:w="1429"/>
        <w:gridCol w:w="1375"/>
        <w:gridCol w:w="1321"/>
        <w:gridCol w:w="1393"/>
        <w:gridCol w:w="1391"/>
      </w:tblGrid>
      <w:tr w:rsidR="004116D4" w:rsidRPr="00592249" w:rsidTr="006E635A">
        <w:trPr>
          <w:trHeight w:val="300"/>
        </w:trPr>
        <w:tc>
          <w:tcPr>
            <w:tcW w:w="760" w:type="pct"/>
            <w:gridSpan w:val="2"/>
            <w:tcBorders>
              <w:top w:val="single" w:sz="4" w:space="0" w:color="auto"/>
              <w:left w:val="nil"/>
              <w:bottom w:val="nil"/>
              <w:right w:val="nil"/>
            </w:tcBorders>
            <w:shd w:val="clear" w:color="auto" w:fill="auto"/>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139" w:type="pct"/>
            <w:tcBorders>
              <w:top w:val="single" w:sz="4" w:space="0" w:color="auto"/>
              <w:left w:val="nil"/>
              <w:bottom w:val="nil"/>
              <w:right w:val="single" w:sz="4" w:space="0" w:color="auto"/>
            </w:tcBorders>
            <w:shd w:val="clear" w:color="auto" w:fill="auto"/>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4101" w:type="pct"/>
            <w:gridSpan w:val="6"/>
            <w:tcBorders>
              <w:top w:val="single" w:sz="4" w:space="0" w:color="auto"/>
              <w:left w:val="single" w:sz="4" w:space="0" w:color="auto"/>
              <w:bottom w:val="single" w:sz="4" w:space="0" w:color="auto"/>
              <w:right w:val="nil"/>
            </w:tcBorders>
            <w:shd w:val="clear" w:color="auto" w:fill="auto"/>
            <w:vAlign w:val="bottom"/>
            <w:hideMark/>
          </w:tcPr>
          <w:p w:rsidR="004116D4" w:rsidRPr="00592249" w:rsidRDefault="004116D4" w:rsidP="006E635A">
            <w:pPr>
              <w:tabs>
                <w:tab w:val="left" w:pos="810"/>
              </w:tabs>
              <w:spacing w:after="0" w:line="240" w:lineRule="auto"/>
              <w:jc w:val="center"/>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Dependent variable: cash ratio</w:t>
            </w:r>
          </w:p>
        </w:tc>
      </w:tr>
      <w:tr w:rsidR="004116D4" w:rsidRPr="00592249" w:rsidTr="006E635A">
        <w:trPr>
          <w:trHeight w:val="30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center"/>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All</w:t>
            </w: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center"/>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High cash</w:t>
            </w:r>
          </w:p>
        </w:tc>
        <w:tc>
          <w:tcPr>
            <w:tcW w:w="1389" w:type="pct"/>
            <w:gridSpan w:val="2"/>
            <w:tcBorders>
              <w:top w:val="single" w:sz="4" w:space="0" w:color="auto"/>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center"/>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Low cash</w:t>
            </w:r>
          </w:p>
        </w:tc>
      </w:tr>
      <w:tr w:rsidR="004116D4" w:rsidRPr="00592249" w:rsidTr="006E635A">
        <w:trPr>
          <w:trHeight w:val="30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Variable</w:t>
            </w: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1</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2</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1</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2</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1</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Model 2</w:t>
            </w:r>
          </w:p>
        </w:tc>
      </w:tr>
      <w:tr w:rsidR="004116D4" w:rsidRPr="00592249" w:rsidTr="006E635A">
        <w:trPr>
          <w:trHeight w:val="201"/>
        </w:trPr>
        <w:tc>
          <w:tcPr>
            <w:tcW w:w="760" w:type="pct"/>
            <w:gridSpan w:val="2"/>
            <w:tcBorders>
              <w:top w:val="nil"/>
              <w:left w:val="nil"/>
              <w:bottom w:val="nil"/>
              <w:right w:val="nil"/>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Constant</w:t>
            </w: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a</w:t>
            </w: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0.0014</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0.0112</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0.1045</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0.1044</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0.0754</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0.0160</w:t>
            </w:r>
          </w:p>
        </w:tc>
      </w:tr>
      <w:tr w:rsidR="004116D4" w:rsidRPr="00592249" w:rsidTr="006E635A">
        <w:trPr>
          <w:trHeight w:val="8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b</w:t>
            </w: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(0.1400)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(1.0300)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(7.0400***)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(0.4700)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(6.0600***)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(1.5800)</w:t>
            </w:r>
          </w:p>
        </w:tc>
      </w:tr>
      <w:tr w:rsidR="004116D4" w:rsidRPr="00592249" w:rsidTr="006E635A">
        <w:trPr>
          <w:trHeight w:val="30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c</w:t>
            </w: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(0.8910)</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(0.3010)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(0.6410)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(0.1130)</w:t>
            </w:r>
          </w:p>
        </w:tc>
      </w:tr>
      <w:tr w:rsidR="004116D4" w:rsidRPr="00592249" w:rsidTr="006E635A">
        <w:trPr>
          <w:trHeight w:val="80"/>
        </w:trPr>
        <w:tc>
          <w:tcPr>
            <w:tcW w:w="899" w:type="pct"/>
            <w:gridSpan w:val="3"/>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L. cash ratio</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0.5742</w:t>
            </w: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0.5082</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0.3265</w:t>
            </w: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0.3200</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0.4567</w:t>
            </w: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0.4646</w:t>
            </w:r>
          </w:p>
        </w:tc>
      </w:tr>
      <w:tr w:rsidR="004116D4" w:rsidRPr="00592249" w:rsidTr="006E635A">
        <w:trPr>
          <w:trHeight w:val="80"/>
        </w:trPr>
        <w:tc>
          <w:tcPr>
            <w:tcW w:w="437"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462" w:type="pct"/>
            <w:gridSpan w:val="2"/>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(3.7200***)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(3.3000***)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(5.8500***)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(4.9200***)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(3.7100***)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(4.3300***)</w:t>
            </w:r>
          </w:p>
        </w:tc>
      </w:tr>
      <w:tr w:rsidR="004116D4" w:rsidRPr="00592249" w:rsidTr="006E635A">
        <w:trPr>
          <w:trHeight w:val="300"/>
        </w:trPr>
        <w:tc>
          <w:tcPr>
            <w:tcW w:w="437"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462" w:type="pct"/>
            <w:gridSpan w:val="2"/>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r>
      <w:tr w:rsidR="004116D4" w:rsidRPr="00592249" w:rsidTr="006E635A">
        <w:trPr>
          <w:trHeight w:val="300"/>
        </w:trPr>
        <w:tc>
          <w:tcPr>
            <w:tcW w:w="899" w:type="pct"/>
            <w:gridSpan w:val="3"/>
            <w:tcBorders>
              <w:top w:val="single" w:sz="4" w:space="0" w:color="auto"/>
              <w:left w:val="nil"/>
              <w:bottom w:val="nil"/>
              <w:right w:val="single" w:sz="4" w:space="0" w:color="auto"/>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Liquidity factor</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0.0083</w:t>
            </w: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0.0056</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0.0293</w:t>
            </w: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0.0334</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0.0066</w:t>
            </w: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0.0055</w:t>
            </w:r>
          </w:p>
        </w:tc>
      </w:tr>
      <w:tr w:rsidR="004116D4" w:rsidRPr="00592249" w:rsidTr="006E635A">
        <w:trPr>
          <w:trHeight w:val="8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(2.4900**)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(1.8200*)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(5.3400***)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(3.4300***)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(2.0200**)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(1.8200*)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(0.0130)</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(0.0690)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(0.0430)</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(0.0690)</w:t>
            </w:r>
          </w:p>
        </w:tc>
      </w:tr>
      <w:tr w:rsidR="004116D4" w:rsidRPr="00592249" w:rsidTr="006E635A">
        <w:trPr>
          <w:trHeight w:val="70"/>
        </w:trPr>
        <w:tc>
          <w:tcPr>
            <w:tcW w:w="899" w:type="pct"/>
            <w:gridSpan w:val="3"/>
            <w:vMerge w:val="restart"/>
            <w:tcBorders>
              <w:top w:val="single" w:sz="4" w:space="0" w:color="auto"/>
              <w:left w:val="nil"/>
              <w:right w:val="single" w:sz="4" w:space="0" w:color="auto"/>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Repayment ability factor</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0.0012</w:t>
            </w: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0.0004</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0.0014</w:t>
            </w: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0.0014</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0.0004</w:t>
            </w: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0.0007</w:t>
            </w:r>
          </w:p>
        </w:tc>
      </w:tr>
      <w:tr w:rsidR="004116D4" w:rsidRPr="00592249" w:rsidTr="006E635A">
        <w:trPr>
          <w:trHeight w:val="345"/>
        </w:trPr>
        <w:tc>
          <w:tcPr>
            <w:tcW w:w="899" w:type="pct"/>
            <w:gridSpan w:val="3"/>
            <w:vMerge/>
            <w:tcBorders>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(3.0600**)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(1.0400)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(4.1600***)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(3.7600***)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(0.8500)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(1.7700*)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(0.0020)</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(0.2970)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(0.3950)</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(0.0760)</w:t>
            </w:r>
          </w:p>
        </w:tc>
      </w:tr>
      <w:tr w:rsidR="004116D4" w:rsidRPr="00592249" w:rsidTr="006E635A">
        <w:trPr>
          <w:trHeight w:val="80"/>
        </w:trPr>
        <w:tc>
          <w:tcPr>
            <w:tcW w:w="899" w:type="pct"/>
            <w:gridSpan w:val="3"/>
            <w:tcBorders>
              <w:top w:val="single" w:sz="4" w:space="0" w:color="auto"/>
              <w:left w:val="nil"/>
              <w:bottom w:val="nil"/>
              <w:right w:val="single" w:sz="4" w:space="0" w:color="auto"/>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Solvency factor</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0.0001</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0.0001</w:t>
            </w: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0.0002</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0.0005</w:t>
            </w: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0.0001</w:t>
            </w:r>
          </w:p>
        </w:tc>
      </w:tr>
      <w:tr w:rsidR="004116D4" w:rsidRPr="00592249" w:rsidTr="006E635A">
        <w:trPr>
          <w:trHeight w:val="30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(0.0200)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(0.4600)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(0.3400)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(0.4300)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(1.7500*)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(0.4600)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(0.9840)</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(0.6490)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(0.7340)</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(0.6680)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(0.0800)</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(0.6420)</w:t>
            </w:r>
          </w:p>
        </w:tc>
      </w:tr>
      <w:tr w:rsidR="004116D4" w:rsidRPr="00592249" w:rsidTr="006E635A">
        <w:trPr>
          <w:trHeight w:val="70"/>
        </w:trPr>
        <w:tc>
          <w:tcPr>
            <w:tcW w:w="899" w:type="pct"/>
            <w:gridSpan w:val="3"/>
            <w:tcBorders>
              <w:top w:val="single" w:sz="4" w:space="0" w:color="auto"/>
              <w:left w:val="nil"/>
              <w:bottom w:val="nil"/>
              <w:right w:val="single" w:sz="4" w:space="0" w:color="auto"/>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Inflation risk</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-2.258</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-1.4907</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-2.3637</w:t>
            </w:r>
          </w:p>
        </w:tc>
      </w:tr>
      <w:tr w:rsidR="004116D4" w:rsidRPr="00592249" w:rsidTr="006E635A">
        <w:trPr>
          <w:trHeight w:val="8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(-4.5200***)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(-1.2600)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(-4.7800***)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(0.2090)</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r>
      <w:tr w:rsidR="004116D4" w:rsidRPr="00592249" w:rsidTr="006E635A">
        <w:trPr>
          <w:trHeight w:val="70"/>
        </w:trPr>
        <w:tc>
          <w:tcPr>
            <w:tcW w:w="899" w:type="pct"/>
            <w:gridSpan w:val="3"/>
            <w:tcBorders>
              <w:top w:val="single" w:sz="4" w:space="0" w:color="auto"/>
              <w:left w:val="nil"/>
              <w:bottom w:val="nil"/>
              <w:right w:val="single" w:sz="4" w:space="0" w:color="auto"/>
            </w:tcBorders>
            <w:shd w:val="clear" w:color="auto" w:fill="auto"/>
            <w:noWrap/>
            <w:vAlign w:val="center"/>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Currency risk</w:t>
            </w: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1.1034</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0.0648</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1.1436</w:t>
            </w:r>
          </w:p>
        </w:tc>
      </w:tr>
      <w:tr w:rsidR="004116D4" w:rsidRPr="00592249" w:rsidTr="006E635A">
        <w:trPr>
          <w:trHeight w:val="30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(3.5000***)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(0.0900)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both"/>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(3.0300***)</w:t>
            </w:r>
          </w:p>
        </w:tc>
      </w:tr>
      <w:tr w:rsidR="004116D4" w:rsidRPr="00592249" w:rsidTr="006E635A">
        <w:trPr>
          <w:trHeight w:val="8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(0.9290)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both"/>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r>
      <w:tr w:rsidR="004116D4" w:rsidRPr="00592249" w:rsidTr="006E635A">
        <w:trPr>
          <w:trHeight w:val="30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xml:space="preserve">Wald chi </w:t>
            </w: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295.5300</w:t>
            </w:r>
          </w:p>
        </w:tc>
        <w:tc>
          <w:tcPr>
            <w:tcW w:w="713"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347.8500</w:t>
            </w:r>
          </w:p>
        </w:tc>
        <w:tc>
          <w:tcPr>
            <w:tcW w:w="686"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396.4300</w:t>
            </w:r>
          </w:p>
        </w:tc>
        <w:tc>
          <w:tcPr>
            <w:tcW w:w="659" w:type="pct"/>
            <w:tcBorders>
              <w:top w:val="single" w:sz="4" w:space="0" w:color="auto"/>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414.8700</w:t>
            </w:r>
          </w:p>
        </w:tc>
        <w:tc>
          <w:tcPr>
            <w:tcW w:w="695" w:type="pct"/>
            <w:tcBorders>
              <w:top w:val="single" w:sz="4" w:space="0" w:color="auto"/>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263.6300</w:t>
            </w:r>
          </w:p>
        </w:tc>
        <w:tc>
          <w:tcPr>
            <w:tcW w:w="694" w:type="pct"/>
            <w:tcBorders>
              <w:top w:val="single" w:sz="4" w:space="0" w:color="auto"/>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306.8700</w:t>
            </w:r>
          </w:p>
        </w:tc>
      </w:tr>
      <w:tr w:rsidR="004116D4" w:rsidRPr="00592249" w:rsidTr="006E635A">
        <w:trPr>
          <w:trHeight w:val="300"/>
        </w:trPr>
        <w:tc>
          <w:tcPr>
            <w:tcW w:w="760" w:type="pct"/>
            <w:gridSpan w:val="2"/>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p-value</w:t>
            </w:r>
          </w:p>
        </w:tc>
        <w:tc>
          <w:tcPr>
            <w:tcW w:w="13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713"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86"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59" w:type="pct"/>
            <w:tcBorders>
              <w:top w:val="nil"/>
              <w:left w:val="nil"/>
              <w:bottom w:val="nil"/>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5" w:type="pct"/>
            <w:tcBorders>
              <w:top w:val="nil"/>
              <w:left w:val="single" w:sz="4" w:space="0" w:color="auto"/>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c>
          <w:tcPr>
            <w:tcW w:w="694" w:type="pct"/>
            <w:tcBorders>
              <w:top w:val="nil"/>
              <w:left w:val="nil"/>
              <w:bottom w:val="nil"/>
              <w:right w:val="nil"/>
            </w:tcBorders>
            <w:shd w:val="clear" w:color="auto" w:fill="auto"/>
            <w:noWrap/>
            <w:vAlign w:val="bottom"/>
            <w:hideMark/>
          </w:tcPr>
          <w:p w:rsidR="004116D4" w:rsidRPr="00592249" w:rsidRDefault="004116D4" w:rsidP="006E635A">
            <w:pPr>
              <w:tabs>
                <w:tab w:val="left" w:pos="810"/>
              </w:tabs>
              <w:spacing w:after="0" w:line="240" w:lineRule="auto"/>
              <w:jc w:val="right"/>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(0.0000***)</w:t>
            </w:r>
          </w:p>
        </w:tc>
      </w:tr>
      <w:tr w:rsidR="004116D4" w:rsidRPr="00592249" w:rsidTr="006E635A">
        <w:trPr>
          <w:trHeight w:val="80"/>
        </w:trPr>
        <w:tc>
          <w:tcPr>
            <w:tcW w:w="760" w:type="pct"/>
            <w:gridSpan w:val="2"/>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13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86"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95" w:type="pct"/>
            <w:tcBorders>
              <w:top w:val="nil"/>
              <w:left w:val="single" w:sz="4" w:space="0" w:color="auto"/>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c>
          <w:tcPr>
            <w:tcW w:w="694" w:type="pct"/>
            <w:tcBorders>
              <w:top w:val="nil"/>
              <w:left w:val="nil"/>
              <w:bottom w:val="single" w:sz="4" w:space="0" w:color="auto"/>
              <w:right w:val="nil"/>
            </w:tcBorders>
            <w:shd w:val="clear" w:color="auto" w:fill="auto"/>
            <w:noWrap/>
            <w:vAlign w:val="bottom"/>
            <w:hideMark/>
          </w:tcPr>
          <w:p w:rsidR="004116D4" w:rsidRPr="00592249" w:rsidRDefault="004116D4" w:rsidP="006E635A">
            <w:pPr>
              <w:tabs>
                <w:tab w:val="left" w:pos="810"/>
              </w:tabs>
              <w:spacing w:after="0" w:line="240" w:lineRule="auto"/>
              <w:rPr>
                <w:rFonts w:ascii="Times New Roman" w:eastAsia="Times New Roman" w:hAnsi="Times New Roman" w:cs="Times New Roman"/>
                <w:color w:val="000000"/>
                <w:sz w:val="20"/>
                <w:szCs w:val="20"/>
              </w:rPr>
            </w:pPr>
            <w:r w:rsidRPr="00592249">
              <w:rPr>
                <w:rFonts w:ascii="Times New Roman" w:eastAsia="Times New Roman" w:hAnsi="Times New Roman" w:cs="Times New Roman"/>
                <w:color w:val="000000"/>
                <w:sz w:val="20"/>
                <w:szCs w:val="20"/>
              </w:rPr>
              <w:t> </w:t>
            </w:r>
          </w:p>
        </w:tc>
      </w:tr>
    </w:tbl>
    <w:p w:rsidR="004116D4" w:rsidRDefault="004116D4" w:rsidP="004116D4">
      <w:pPr>
        <w:tabs>
          <w:tab w:val="left" w:pos="810"/>
        </w:tabs>
        <w:spacing w:line="240" w:lineRule="auto"/>
        <w:jc w:val="both"/>
        <w:rPr>
          <w:rFonts w:ascii="Times New Roman" w:hAnsi="Times New Roman" w:cs="Times New Roman"/>
          <w:sz w:val="20"/>
          <w:szCs w:val="20"/>
        </w:rPr>
      </w:pPr>
      <w:r w:rsidRPr="00AF42E5">
        <w:rPr>
          <w:rFonts w:ascii="Times New Roman" w:hAnsi="Times New Roman" w:cs="Times New Roman"/>
        </w:rPr>
        <w:t xml:space="preserve">Note: </w:t>
      </w:r>
      <w:r w:rsidRPr="00AF42E5">
        <w:rPr>
          <w:rFonts w:ascii="Times New Roman" w:hAnsi="Times New Roman" w:cs="Times New Roman"/>
          <w:sz w:val="20"/>
          <w:szCs w:val="20"/>
        </w:rPr>
        <w:t>a</w:t>
      </w:r>
      <w:r w:rsidRPr="00934FE9">
        <w:rPr>
          <w:rFonts w:ascii="Times New Roman" w:hAnsi="Times New Roman" w:cs="Times New Roman"/>
          <w:sz w:val="20"/>
          <w:szCs w:val="20"/>
        </w:rPr>
        <w:t xml:space="preserve"> =coefficients, b = t-statistics, c = p-values, significant at 0.01(*), 0.05(**), 0.001(***) level.</w:t>
      </w:r>
    </w:p>
    <w:p w:rsidR="004116D4" w:rsidRDefault="004116D4" w:rsidP="004116D4">
      <w:pPr>
        <w:tabs>
          <w:tab w:val="left" w:pos="810"/>
        </w:tabs>
        <w:spacing w:line="240" w:lineRule="auto"/>
        <w:jc w:val="both"/>
        <w:rPr>
          <w:rFonts w:ascii="Times New Roman" w:hAnsi="Times New Roman" w:cs="Times New Roman"/>
          <w:sz w:val="24"/>
          <w:szCs w:val="24"/>
        </w:rPr>
      </w:pPr>
    </w:p>
    <w:p w:rsidR="00587D2F" w:rsidRDefault="00587D2F" w:rsidP="004116D4">
      <w:pPr>
        <w:tabs>
          <w:tab w:val="left" w:pos="810"/>
        </w:tabs>
        <w:spacing w:line="240" w:lineRule="auto"/>
        <w:jc w:val="both"/>
        <w:rPr>
          <w:rFonts w:ascii="Times New Roman" w:hAnsi="Times New Roman" w:cs="Times New Roman"/>
          <w:sz w:val="24"/>
          <w:szCs w:val="24"/>
        </w:rPr>
      </w:pPr>
    </w:p>
    <w:p w:rsidR="00587D2F" w:rsidRDefault="00587D2F" w:rsidP="004116D4">
      <w:pPr>
        <w:tabs>
          <w:tab w:val="left" w:pos="810"/>
        </w:tabs>
        <w:spacing w:line="240" w:lineRule="auto"/>
        <w:jc w:val="both"/>
        <w:rPr>
          <w:rFonts w:ascii="Times New Roman" w:hAnsi="Times New Roman" w:cs="Times New Roman"/>
          <w:sz w:val="24"/>
          <w:szCs w:val="24"/>
        </w:rPr>
      </w:pPr>
    </w:p>
    <w:p w:rsidR="00587D2F" w:rsidRDefault="00587D2F" w:rsidP="004116D4">
      <w:pPr>
        <w:tabs>
          <w:tab w:val="left" w:pos="810"/>
        </w:tabs>
        <w:spacing w:line="240" w:lineRule="auto"/>
        <w:jc w:val="both"/>
        <w:rPr>
          <w:rFonts w:ascii="Times New Roman" w:hAnsi="Times New Roman" w:cs="Times New Roman"/>
          <w:sz w:val="24"/>
          <w:szCs w:val="24"/>
        </w:rPr>
      </w:pPr>
    </w:p>
    <w:p w:rsidR="00587D2F" w:rsidRDefault="00587D2F" w:rsidP="004116D4">
      <w:pPr>
        <w:tabs>
          <w:tab w:val="left" w:pos="810"/>
        </w:tabs>
        <w:spacing w:line="240" w:lineRule="auto"/>
        <w:jc w:val="both"/>
        <w:rPr>
          <w:rFonts w:ascii="Times New Roman" w:hAnsi="Times New Roman" w:cs="Times New Roman"/>
          <w:sz w:val="24"/>
          <w:szCs w:val="24"/>
        </w:rPr>
      </w:pPr>
    </w:p>
    <w:p w:rsidR="004116D4" w:rsidRDefault="004116D4" w:rsidP="00EF351B">
      <w:pPr>
        <w:tabs>
          <w:tab w:val="left" w:pos="8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Repayment ability is positively significant with cash ratio of listed firms in Bursa Malaysia, which is consistent with the findings in the KOSE sample. The trend of coefficients for repayment ability factor of high cash holding firms and low cash holding firms in Bursa Malaysia are not alike with listed firms in KOSE. The coefficients of repayment ability for firms with low cash holding are decreasing from 0.0004 (model 1) to 0.0007 (model 2) after including the effect of macroeconomic risk factors</w:t>
      </w:r>
      <w:r w:rsidRPr="00424F0A">
        <w:rPr>
          <w:rFonts w:ascii="Times New Roman" w:hAnsi="Times New Roman" w:cs="Times New Roman"/>
          <w:sz w:val="24"/>
          <w:szCs w:val="24"/>
        </w:rPr>
        <w:t xml:space="preserve">. </w:t>
      </w:r>
      <w:r>
        <w:rPr>
          <w:rFonts w:ascii="Times New Roman" w:hAnsi="Times New Roman" w:cs="Times New Roman"/>
          <w:sz w:val="24"/>
          <w:szCs w:val="24"/>
        </w:rPr>
        <w:t>The changes of cash ratio in low cash holding firms might due to the risk-adverse and conservatism practice in listed firms of Bursa Malaysia. Generally the fluctuations of inflation and currency are associated with interest rate changes. Firms with low cash holding are adjusting their repayment ability according to the changes in inflation and currency risk factors to avoid failure in fulfill interest expenses obligations which might turn them into default. Whereas the coefficients of repayment ability factor are consistent in model 1 and model 2 for firms with high cash holding in Bursa Malaysia. The unchanged coefficients for repayment ability factor in high cash holing firms in model 1 and model 2 might explained by sufficient liquid to meet the interest expenses obligations. Furthermore, firms with high cash holding usually involved in lesser debt and low interest payments therefore needless to adjust according to changes in macroeconomic risk factor.</w:t>
      </w:r>
    </w:p>
    <w:p w:rsidR="004116D4" w:rsidRDefault="004116D4" w:rsidP="00EF351B">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Unlike the findings in KOSE, low-cash holding firms are statistically significant to macroeconomic risk factors, inflation and currency risk factors. While there is no evidence found for high cash holding firms. The cash ratio of high cash holding firms in Bursa Malaysia is less likely to be affected by its macroeconomic risk factors as the listed firms in Bursa Malaysia practice conservatism in cash management. The coefficient of 1.2102 for inflation risk is significant with a negative sign at 0.01 for low cash holding firms which show same sign compared with the inflation risk factors for high cash holding firms in KOSE. When the inflation </w:t>
      </w:r>
      <w:r>
        <w:rPr>
          <w:rFonts w:ascii="Times New Roman" w:hAnsi="Times New Roman" w:cs="Times New Roman"/>
          <w:sz w:val="24"/>
          <w:szCs w:val="24"/>
        </w:rPr>
        <w:lastRenderedPageBreak/>
        <w:t>risk is greater, low cash holding firms will further reduce the cash holdings to mitigate the loss of a drop in the value of cash and purchasing power.</w:t>
      </w:r>
    </w:p>
    <w:p w:rsidR="004116D4" w:rsidRDefault="004116D4" w:rsidP="00587D2F">
      <w:pPr>
        <w:tabs>
          <w:tab w:val="left" w:pos="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coefficient of 1.0299 with a positive sign for currency risk of low cash holding firms indicates that firms will hold more cash when the volatility of the exchange rate or the change of value in local currency is greater. Also, low cash holding firms expect local currency to depreciate; thus, the conversion of payment for import from other countries in foreign currency will be relatively expensive. Thus low cash holding firms will keep more cash holdings </w:t>
      </w:r>
      <w:r w:rsidRPr="00683644">
        <w:rPr>
          <w:rFonts w:ascii="Times New Roman" w:hAnsi="Times New Roman" w:cs="Times New Roman"/>
          <w:sz w:val="24"/>
          <w:szCs w:val="24"/>
        </w:rPr>
        <w:t>as</w:t>
      </w:r>
      <w:r>
        <w:rPr>
          <w:rFonts w:ascii="Times New Roman" w:hAnsi="Times New Roman" w:cs="Times New Roman"/>
          <w:sz w:val="24"/>
          <w:szCs w:val="24"/>
        </w:rPr>
        <w:t xml:space="preserve"> a</w:t>
      </w:r>
      <w:r w:rsidRPr="00683644">
        <w:rPr>
          <w:rFonts w:ascii="Times New Roman" w:hAnsi="Times New Roman" w:cs="Times New Roman"/>
          <w:sz w:val="24"/>
          <w:szCs w:val="24"/>
        </w:rPr>
        <w:t xml:space="preserve"> preparation for the unanticipated increase in daily transaction</w:t>
      </w:r>
      <w:r>
        <w:rPr>
          <w:rFonts w:ascii="Times New Roman" w:hAnsi="Times New Roman" w:cs="Times New Roman"/>
          <w:sz w:val="24"/>
          <w:szCs w:val="24"/>
        </w:rPr>
        <w:t>s</w:t>
      </w:r>
      <w:r w:rsidRPr="00683644">
        <w:rPr>
          <w:rFonts w:ascii="Times New Roman" w:hAnsi="Times New Roman" w:cs="Times New Roman"/>
          <w:sz w:val="24"/>
          <w:szCs w:val="24"/>
        </w:rPr>
        <w:t xml:space="preserve"> and obligations. </w:t>
      </w:r>
      <w:r>
        <w:rPr>
          <w:rFonts w:ascii="Times New Roman" w:hAnsi="Times New Roman" w:cs="Times New Roman"/>
          <w:sz w:val="24"/>
          <w:szCs w:val="24"/>
        </w:rPr>
        <w:t>T</w:t>
      </w:r>
      <w:r w:rsidRPr="00683644">
        <w:rPr>
          <w:rFonts w:ascii="Times New Roman" w:hAnsi="Times New Roman" w:cs="Times New Roman"/>
          <w:sz w:val="24"/>
          <w:szCs w:val="24"/>
        </w:rPr>
        <w:t>he F-statistic</w:t>
      </w:r>
      <w:r>
        <w:rPr>
          <w:rFonts w:ascii="Times New Roman" w:hAnsi="Times New Roman" w:cs="Times New Roman"/>
          <w:sz w:val="24"/>
          <w:szCs w:val="24"/>
        </w:rPr>
        <w:t>s are significant at 0.0</w:t>
      </w:r>
      <w:r w:rsidR="00587D2F">
        <w:rPr>
          <w:rFonts w:ascii="Times New Roman" w:hAnsi="Times New Roman" w:cs="Times New Roman"/>
          <w:sz w:val="24"/>
          <w:szCs w:val="24"/>
        </w:rPr>
        <w:t xml:space="preserve">001 for all models in Table </w:t>
      </w:r>
      <w:r>
        <w:rPr>
          <w:rFonts w:ascii="Times New Roman" w:hAnsi="Times New Roman" w:cs="Times New Roman"/>
          <w:sz w:val="24"/>
          <w:szCs w:val="24"/>
        </w:rPr>
        <w:t>4</w:t>
      </w:r>
      <w:r w:rsidRPr="00683644">
        <w:rPr>
          <w:rFonts w:ascii="Times New Roman" w:hAnsi="Times New Roman" w:cs="Times New Roman"/>
          <w:sz w:val="24"/>
          <w:szCs w:val="24"/>
        </w:rPr>
        <w:t>.</w:t>
      </w:r>
    </w:p>
    <w:p w:rsidR="004116D4" w:rsidRPr="004116D4" w:rsidRDefault="00E51CDE" w:rsidP="00EF351B">
      <w:p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180A10">
        <w:rPr>
          <w:rFonts w:ascii="Times New Roman" w:hAnsi="Times New Roman" w:cs="Times New Roman"/>
          <w:b/>
          <w:sz w:val="24"/>
          <w:szCs w:val="24"/>
        </w:rPr>
        <w:t>Conclusion</w:t>
      </w:r>
    </w:p>
    <w:p w:rsidR="004116D4" w:rsidRDefault="004116D4" w:rsidP="00EF351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This study attempts to identify the impact of financial ratios and risk factors on cash holdings, which is similar between KOSE and Bursa Malaysia. The results of panel regression, without considering the lagged effect of exogenous variables on the current stage, show that the liquidity ratio and repayment ability factor significantly impact the cash-holding decision. The results of this objective report that most of the external risk factors are significant for low cash holding firms in Bursa Malaysia (in fixed-effect regression and GMM estimation) and high cash holding firms in KOSE (in GMM estimation).</w:t>
      </w:r>
    </w:p>
    <w:p w:rsidR="00587D2F" w:rsidRDefault="00587D2F" w:rsidP="00EF351B">
      <w:pPr>
        <w:tabs>
          <w:tab w:val="left" w:pos="810"/>
        </w:tabs>
        <w:spacing w:line="480" w:lineRule="auto"/>
        <w:jc w:val="both"/>
        <w:rPr>
          <w:rFonts w:ascii="Times New Roman" w:hAnsi="Times New Roman" w:cs="Times New Roman"/>
          <w:sz w:val="24"/>
          <w:szCs w:val="24"/>
        </w:rPr>
      </w:pPr>
    </w:p>
    <w:p w:rsidR="00587D2F" w:rsidRDefault="00587D2F" w:rsidP="00EF351B">
      <w:pPr>
        <w:tabs>
          <w:tab w:val="left" w:pos="810"/>
        </w:tabs>
        <w:spacing w:line="480" w:lineRule="auto"/>
        <w:jc w:val="both"/>
        <w:rPr>
          <w:rFonts w:ascii="Times New Roman" w:hAnsi="Times New Roman" w:cs="Times New Roman"/>
          <w:sz w:val="24"/>
          <w:szCs w:val="24"/>
        </w:rPr>
      </w:pPr>
    </w:p>
    <w:p w:rsidR="00587D2F" w:rsidRDefault="00587D2F" w:rsidP="00EF351B">
      <w:pPr>
        <w:tabs>
          <w:tab w:val="left" w:pos="810"/>
        </w:tabs>
        <w:spacing w:line="480" w:lineRule="auto"/>
        <w:jc w:val="both"/>
        <w:rPr>
          <w:rFonts w:ascii="Times New Roman" w:hAnsi="Times New Roman" w:cs="Times New Roman"/>
          <w:sz w:val="24"/>
          <w:szCs w:val="24"/>
        </w:rPr>
      </w:pPr>
    </w:p>
    <w:p w:rsidR="00587D2F" w:rsidRPr="00B36160" w:rsidRDefault="00587D2F" w:rsidP="00EF351B">
      <w:pPr>
        <w:tabs>
          <w:tab w:val="left" w:pos="810"/>
        </w:tabs>
        <w:spacing w:line="480" w:lineRule="auto"/>
        <w:jc w:val="both"/>
        <w:rPr>
          <w:rFonts w:ascii="Times New Roman" w:hAnsi="Times New Roman" w:cs="Times New Roman"/>
          <w:sz w:val="24"/>
          <w:szCs w:val="24"/>
        </w:rPr>
      </w:pPr>
    </w:p>
    <w:p w:rsidR="00CA0361" w:rsidRPr="009233C2" w:rsidRDefault="00CA0361" w:rsidP="00CA0361">
      <w:pPr>
        <w:jc w:val="center"/>
        <w:rPr>
          <w:rFonts w:ascii="Times New Roman" w:hAnsi="Times New Roman" w:cs="Times New Roman"/>
          <w:b/>
          <w:sz w:val="24"/>
          <w:szCs w:val="24"/>
        </w:rPr>
      </w:pPr>
      <w:r w:rsidRPr="009233C2">
        <w:rPr>
          <w:rFonts w:ascii="Times New Roman" w:hAnsi="Times New Roman" w:cs="Times New Roman"/>
          <w:b/>
          <w:sz w:val="24"/>
          <w:szCs w:val="24"/>
        </w:rPr>
        <w:lastRenderedPageBreak/>
        <w:t>Reference</w:t>
      </w:r>
    </w:p>
    <w:p w:rsidR="00CA0361" w:rsidRDefault="00CA0361" w:rsidP="00CA0361">
      <w:pPr>
        <w:jc w:val="both"/>
        <w:rPr>
          <w:rFonts w:ascii="Times New Roman" w:hAnsi="Times New Roman" w:cs="Times New Roman"/>
          <w:sz w:val="24"/>
          <w:szCs w:val="24"/>
        </w:rPr>
      </w:pPr>
      <w:r w:rsidRPr="00E107DA">
        <w:rPr>
          <w:rFonts w:ascii="Times New Roman" w:hAnsi="Times New Roman" w:cs="Times New Roman"/>
          <w:sz w:val="24"/>
          <w:szCs w:val="24"/>
        </w:rPr>
        <w:t>Ahmad, Z., Ibr</w:t>
      </w:r>
      <w:r>
        <w:rPr>
          <w:rFonts w:ascii="Times New Roman" w:hAnsi="Times New Roman" w:cs="Times New Roman"/>
          <w:sz w:val="24"/>
          <w:szCs w:val="24"/>
        </w:rPr>
        <w:t xml:space="preserve">ahim, H., &amp;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Y., 2003, “</w:t>
      </w:r>
      <w:r w:rsidRPr="00E107DA">
        <w:rPr>
          <w:rFonts w:ascii="Times New Roman" w:hAnsi="Times New Roman" w:cs="Times New Roman"/>
          <w:sz w:val="24"/>
          <w:szCs w:val="24"/>
        </w:rPr>
        <w:t>The impact of delistin</w:t>
      </w:r>
      <w:r>
        <w:rPr>
          <w:rFonts w:ascii="Times New Roman" w:hAnsi="Times New Roman" w:cs="Times New Roman"/>
          <w:sz w:val="24"/>
          <w:szCs w:val="24"/>
        </w:rPr>
        <w:t xml:space="preserve">g from KLSE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rPr>
        <w:t xml:space="preserve"> Index”, </w:t>
      </w:r>
      <w:r w:rsidRPr="00E107DA">
        <w:rPr>
          <w:rFonts w:ascii="Times New Roman" w:hAnsi="Times New Roman" w:cs="Times New Roman"/>
          <w:i/>
          <w:sz w:val="24"/>
          <w:szCs w:val="24"/>
        </w:rPr>
        <w:t>The Journal of Accounting, Management, and Economics Research</w:t>
      </w:r>
      <w:r>
        <w:rPr>
          <w:rFonts w:ascii="Times New Roman" w:hAnsi="Times New Roman" w:cs="Times New Roman"/>
          <w:sz w:val="24"/>
          <w:szCs w:val="24"/>
        </w:rPr>
        <w:t xml:space="preserve"> 3(2): 109 – 118. </w:t>
      </w:r>
      <w:r w:rsidRPr="00E107DA">
        <w:rPr>
          <w:rFonts w:ascii="Times New Roman" w:hAnsi="Times New Roman" w:cs="Times New Roman"/>
          <w:sz w:val="24"/>
          <w:szCs w:val="24"/>
        </w:rPr>
        <w:t xml:space="preserve"> </w:t>
      </w:r>
    </w:p>
    <w:p w:rsidR="00CA0361" w:rsidRPr="00E107DA" w:rsidRDefault="00CA0361" w:rsidP="00CA0361">
      <w:pPr>
        <w:jc w:val="both"/>
        <w:rPr>
          <w:rFonts w:ascii="Times New Roman" w:hAnsi="Times New Roman" w:cs="Times New Roman"/>
          <w:sz w:val="24"/>
          <w:szCs w:val="24"/>
        </w:rPr>
      </w:pPr>
      <w:proofErr w:type="gramStart"/>
      <w:r w:rsidRPr="00E107DA">
        <w:rPr>
          <w:rFonts w:ascii="Times New Roman" w:hAnsi="Times New Roman" w:cs="Times New Roman"/>
          <w:sz w:val="24"/>
          <w:szCs w:val="24"/>
        </w:rPr>
        <w:t>Bates, T. W., Chang, C., &amp; Chi, J. (2011).</w:t>
      </w:r>
      <w:proofErr w:type="gramEnd"/>
      <w:r w:rsidRPr="00E107DA">
        <w:rPr>
          <w:rFonts w:ascii="Times New Roman" w:hAnsi="Times New Roman" w:cs="Times New Roman"/>
          <w:sz w:val="24"/>
          <w:szCs w:val="24"/>
        </w:rPr>
        <w:t xml:space="preserve"> Why has the value of cash increased over time? </w:t>
      </w:r>
      <w:r w:rsidRPr="00E107DA">
        <w:rPr>
          <w:rFonts w:ascii="Times New Roman" w:hAnsi="Times New Roman" w:cs="Times New Roman"/>
          <w:i/>
          <w:iCs/>
          <w:sz w:val="24"/>
          <w:szCs w:val="24"/>
        </w:rPr>
        <w:t>Available at SSRN: http://ssrn.com/abstract=1975491 or http://dx.doi.org/10.2139/ssrn.1975491</w:t>
      </w:r>
      <w:r w:rsidRPr="00E107DA">
        <w:rPr>
          <w:rFonts w:ascii="Times New Roman" w:hAnsi="Times New Roman" w:cs="Times New Roman"/>
          <w:sz w:val="24"/>
          <w:szCs w:val="24"/>
        </w:rPr>
        <w:t>.</w:t>
      </w:r>
    </w:p>
    <w:p w:rsidR="00CA0361" w:rsidRPr="000E7D16" w:rsidRDefault="00CA0361" w:rsidP="00CA036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Dittmar</w:t>
      </w:r>
      <w:proofErr w:type="spellEnd"/>
      <w:r>
        <w:rPr>
          <w:rFonts w:ascii="Times New Roman" w:hAnsi="Times New Roman" w:cs="Times New Roman"/>
          <w:sz w:val="24"/>
          <w:szCs w:val="24"/>
        </w:rPr>
        <w:t xml:space="preserve">, Amy &amp; </w:t>
      </w:r>
      <w:proofErr w:type="spellStart"/>
      <w:r>
        <w:rPr>
          <w:rFonts w:ascii="Times New Roman" w:hAnsi="Times New Roman" w:cs="Times New Roman"/>
          <w:sz w:val="24"/>
          <w:szCs w:val="24"/>
        </w:rPr>
        <w:t>Mahrt</w:t>
      </w:r>
      <w:proofErr w:type="spellEnd"/>
      <w:r>
        <w:rPr>
          <w:rFonts w:ascii="Times New Roman" w:hAnsi="Times New Roman" w:cs="Times New Roman"/>
          <w:sz w:val="24"/>
          <w:szCs w:val="24"/>
        </w:rPr>
        <w:t>-Smith,</w:t>
      </w:r>
      <w:r w:rsidRPr="005E3B5F">
        <w:rPr>
          <w:rFonts w:ascii="Times New Roman" w:hAnsi="Times New Roman" w:cs="Times New Roman"/>
          <w:sz w:val="24"/>
          <w:szCs w:val="24"/>
        </w:rPr>
        <w:t xml:space="preserve"> 2007</w:t>
      </w:r>
      <w:r>
        <w:rPr>
          <w:rFonts w:ascii="Times New Roman" w:hAnsi="Times New Roman" w:cs="Times New Roman"/>
          <w:sz w:val="24"/>
          <w:szCs w:val="24"/>
        </w:rPr>
        <w:t>, “</w:t>
      </w:r>
      <w:r w:rsidRPr="005E3B5F">
        <w:rPr>
          <w:rFonts w:ascii="Times New Roman" w:hAnsi="Times New Roman" w:cs="Times New Roman"/>
          <w:sz w:val="24"/>
          <w:szCs w:val="24"/>
        </w:rPr>
        <w:t>Corporate governance and the value of cash holdings</w:t>
      </w:r>
      <w:r>
        <w:rPr>
          <w:rFonts w:ascii="Times New Roman" w:hAnsi="Times New Roman" w:cs="Times New Roman"/>
          <w:sz w:val="24"/>
          <w:szCs w:val="24"/>
        </w:rPr>
        <w:t xml:space="preserve">”, </w:t>
      </w:r>
      <w:r w:rsidRPr="005E3B5F">
        <w:rPr>
          <w:rFonts w:ascii="Times New Roman" w:hAnsi="Times New Roman" w:cs="Times New Roman"/>
          <w:i/>
          <w:sz w:val="24"/>
          <w:szCs w:val="24"/>
        </w:rPr>
        <w:t>Journal of Financial Economics, Elsevier,</w:t>
      </w:r>
      <w:r>
        <w:rPr>
          <w:rFonts w:ascii="Times New Roman" w:hAnsi="Times New Roman" w:cs="Times New Roman"/>
          <w:sz w:val="24"/>
          <w:szCs w:val="24"/>
        </w:rPr>
        <w:t xml:space="preserve"> Volume 83(3), pages 599-634.</w:t>
      </w:r>
      <w:proofErr w:type="gramEnd"/>
    </w:p>
    <w:p w:rsidR="00CA0361" w:rsidRDefault="00CA0361" w:rsidP="00CA0361">
      <w:pPr>
        <w:jc w:val="both"/>
        <w:rPr>
          <w:rFonts w:ascii="Times New Roman" w:hAnsi="Times New Roman" w:cs="Times New Roman"/>
          <w:sz w:val="24"/>
          <w:szCs w:val="24"/>
          <w:shd w:val="clear" w:color="auto" w:fill="FFFFFF"/>
        </w:rPr>
      </w:pPr>
      <w:r w:rsidRPr="000E7D16">
        <w:rPr>
          <w:rFonts w:ascii="Times New Roman" w:hAnsi="Times New Roman" w:cs="Times New Roman"/>
          <w:sz w:val="24"/>
          <w:szCs w:val="24"/>
        </w:rPr>
        <w:t xml:space="preserve">El </w:t>
      </w:r>
      <w:proofErr w:type="spellStart"/>
      <w:r w:rsidRPr="000E7D16">
        <w:rPr>
          <w:rFonts w:ascii="Times New Roman" w:hAnsi="Times New Roman" w:cs="Times New Roman"/>
          <w:sz w:val="24"/>
          <w:szCs w:val="24"/>
        </w:rPr>
        <w:t>Qorchi</w:t>
      </w:r>
      <w:proofErr w:type="spellEnd"/>
      <w:r w:rsidRPr="000E7D16">
        <w:rPr>
          <w:rFonts w:ascii="Times New Roman" w:hAnsi="Times New Roman" w:cs="Times New Roman"/>
          <w:sz w:val="24"/>
          <w:szCs w:val="24"/>
        </w:rPr>
        <w:t xml:space="preserve">, </w:t>
      </w:r>
      <w:proofErr w:type="gramStart"/>
      <w:r w:rsidRPr="000E7D16">
        <w:rPr>
          <w:rFonts w:ascii="Times New Roman" w:hAnsi="Times New Roman" w:cs="Times New Roman"/>
          <w:sz w:val="24"/>
          <w:szCs w:val="24"/>
        </w:rPr>
        <w:t xml:space="preserve">M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E7D16">
        <w:rPr>
          <w:rFonts w:ascii="Times New Roman" w:hAnsi="Times New Roman" w:cs="Times New Roman"/>
          <w:sz w:val="24"/>
          <w:szCs w:val="24"/>
        </w:rPr>
        <w:t xml:space="preserve">2005, “Islamic finance gears up’, </w:t>
      </w:r>
      <w:r w:rsidRPr="000E7D16">
        <w:rPr>
          <w:rFonts w:ascii="Times New Roman" w:hAnsi="Times New Roman" w:cs="Times New Roman"/>
          <w:i/>
          <w:sz w:val="24"/>
          <w:szCs w:val="24"/>
          <w:shd w:val="clear" w:color="auto" w:fill="FFFFFF"/>
        </w:rPr>
        <w:t>Finance &amp; Development</w:t>
      </w:r>
      <w:r w:rsidRPr="000E7D16">
        <w:rPr>
          <w:rFonts w:ascii="Times New Roman" w:hAnsi="Times New Roman" w:cs="Times New Roman"/>
          <w:sz w:val="24"/>
          <w:szCs w:val="24"/>
          <w:shd w:val="clear" w:color="auto" w:fill="FFFFFF"/>
        </w:rPr>
        <w:t xml:space="preserve">, </w:t>
      </w:r>
      <w:proofErr w:type="spellStart"/>
      <w:r w:rsidRPr="000E7D16">
        <w:rPr>
          <w:rFonts w:ascii="Times New Roman" w:hAnsi="Times New Roman" w:cs="Times New Roman"/>
          <w:sz w:val="24"/>
          <w:szCs w:val="24"/>
          <w:shd w:val="clear" w:color="auto" w:fill="FFFFFF"/>
        </w:rPr>
        <w:t>Vol</w:t>
      </w:r>
      <w:proofErr w:type="spellEnd"/>
      <w:r w:rsidRPr="000E7D16">
        <w:rPr>
          <w:rFonts w:ascii="Times New Roman" w:hAnsi="Times New Roman" w:cs="Times New Roman"/>
          <w:sz w:val="24"/>
          <w:szCs w:val="24"/>
          <w:shd w:val="clear" w:color="auto" w:fill="FFFFFF"/>
        </w:rPr>
        <w:t>: 42 Issue: 4, pp.46-49.</w:t>
      </w:r>
    </w:p>
    <w:p w:rsidR="00CA0361" w:rsidRPr="00836E43" w:rsidRDefault="00CA0361" w:rsidP="00CA0361">
      <w:pPr>
        <w:jc w:val="both"/>
        <w:rPr>
          <w:rFonts w:ascii="Times New Roman" w:hAnsi="Times New Roman" w:cs="Times New Roman"/>
          <w:sz w:val="24"/>
          <w:szCs w:val="24"/>
          <w:shd w:val="clear" w:color="auto" w:fill="FFFFFF"/>
        </w:rPr>
      </w:pPr>
      <w:r w:rsidRPr="00836E43">
        <w:rPr>
          <w:rFonts w:ascii="Times New Roman" w:hAnsi="Times New Roman" w:cs="Times New Roman"/>
          <w:sz w:val="24"/>
          <w:szCs w:val="24"/>
          <w:shd w:val="clear" w:color="auto" w:fill="FFFFFF"/>
        </w:rPr>
        <w:t xml:space="preserve">Eugene F. </w:t>
      </w:r>
      <w:proofErr w:type="spellStart"/>
      <w:r w:rsidRPr="00836E43">
        <w:rPr>
          <w:rFonts w:ascii="Times New Roman" w:hAnsi="Times New Roman" w:cs="Times New Roman"/>
          <w:sz w:val="24"/>
          <w:szCs w:val="24"/>
          <w:shd w:val="clear" w:color="auto" w:fill="FFFFFF"/>
        </w:rPr>
        <w:t>Fama</w:t>
      </w:r>
      <w:proofErr w:type="spellEnd"/>
      <w:r w:rsidRPr="00836E43">
        <w:rPr>
          <w:rFonts w:ascii="Times New Roman" w:hAnsi="Times New Roman" w:cs="Times New Roman"/>
          <w:sz w:val="24"/>
          <w:szCs w:val="24"/>
          <w:shd w:val="clear" w:color="auto" w:fill="FFFFFF"/>
        </w:rPr>
        <w:t xml:space="preserve">, Kenneth R. French, </w:t>
      </w:r>
      <w:r>
        <w:rPr>
          <w:rFonts w:ascii="Times New Roman" w:hAnsi="Times New Roman" w:cs="Times New Roman"/>
          <w:sz w:val="24"/>
          <w:szCs w:val="24"/>
          <w:shd w:val="clear" w:color="auto" w:fill="FFFFFF"/>
        </w:rPr>
        <w:t xml:space="preserve">1993, </w:t>
      </w:r>
      <w:r w:rsidRPr="00836E43">
        <w:rPr>
          <w:rFonts w:ascii="Times New Roman" w:hAnsi="Times New Roman" w:cs="Times New Roman"/>
          <w:sz w:val="24"/>
          <w:szCs w:val="24"/>
          <w:shd w:val="clear" w:color="auto" w:fill="FFFFFF"/>
        </w:rPr>
        <w:t xml:space="preserve">Common risk factors in the returns on stocks and bonds, </w:t>
      </w:r>
      <w:r w:rsidRPr="00836E43">
        <w:rPr>
          <w:rFonts w:ascii="Times New Roman" w:hAnsi="Times New Roman" w:cs="Times New Roman"/>
          <w:i/>
          <w:sz w:val="24"/>
          <w:szCs w:val="24"/>
          <w:shd w:val="clear" w:color="auto" w:fill="FFFFFF"/>
        </w:rPr>
        <w:t>Journal of Financial Economics</w:t>
      </w:r>
      <w:r w:rsidRPr="00836E43">
        <w:rPr>
          <w:rFonts w:ascii="Times New Roman" w:hAnsi="Times New Roman" w:cs="Times New Roman"/>
          <w:sz w:val="24"/>
          <w:szCs w:val="24"/>
          <w:shd w:val="clear" w:color="auto" w:fill="FFFFFF"/>
        </w:rPr>
        <w:t>, Volume 33, Issue 1, Pages 3-56</w:t>
      </w:r>
      <w:r>
        <w:rPr>
          <w:rFonts w:ascii="Times New Roman" w:hAnsi="Times New Roman" w:cs="Times New Roman"/>
          <w:sz w:val="24"/>
          <w:szCs w:val="24"/>
          <w:shd w:val="clear" w:color="auto" w:fill="FFFFFF"/>
        </w:rPr>
        <w:t>.</w:t>
      </w:r>
    </w:p>
    <w:p w:rsidR="00CA0361" w:rsidRPr="000E7D16" w:rsidRDefault="00CA0361" w:rsidP="00CA0361">
      <w:pPr>
        <w:jc w:val="both"/>
        <w:rPr>
          <w:rFonts w:ascii="Times New Roman" w:hAnsi="Times New Roman" w:cs="Times New Roman"/>
          <w:sz w:val="24"/>
          <w:szCs w:val="24"/>
          <w:shd w:val="clear" w:color="auto" w:fill="FFFFFF"/>
        </w:rPr>
      </w:pPr>
      <w:proofErr w:type="spellStart"/>
      <w:proofErr w:type="gramStart"/>
      <w:r w:rsidRPr="00E107DA">
        <w:rPr>
          <w:rFonts w:ascii="Times New Roman" w:hAnsi="Times New Roman" w:cs="Times New Roman"/>
          <w:sz w:val="24"/>
          <w:szCs w:val="24"/>
          <w:shd w:val="clear" w:color="auto" w:fill="FFFFFF"/>
        </w:rPr>
        <w:t>Faulkender</w:t>
      </w:r>
      <w:proofErr w:type="spellEnd"/>
      <w:r w:rsidRPr="00E107DA">
        <w:rPr>
          <w:rFonts w:ascii="Times New Roman" w:hAnsi="Times New Roman" w:cs="Times New Roman"/>
          <w:sz w:val="24"/>
          <w:szCs w:val="24"/>
          <w:shd w:val="clear" w:color="auto" w:fill="FFFFFF"/>
        </w:rPr>
        <w:t>, M., &amp; Wang, R. (2006).</w:t>
      </w:r>
      <w:proofErr w:type="gramEnd"/>
      <w:r w:rsidRPr="00E107DA">
        <w:rPr>
          <w:rFonts w:ascii="Times New Roman" w:hAnsi="Times New Roman" w:cs="Times New Roman"/>
          <w:sz w:val="24"/>
          <w:szCs w:val="24"/>
          <w:shd w:val="clear" w:color="auto" w:fill="FFFFFF"/>
        </w:rPr>
        <w:t xml:space="preserve"> </w:t>
      </w:r>
      <w:proofErr w:type="gramStart"/>
      <w:r w:rsidRPr="00E107DA">
        <w:rPr>
          <w:rFonts w:ascii="Times New Roman" w:hAnsi="Times New Roman" w:cs="Times New Roman"/>
          <w:sz w:val="24"/>
          <w:szCs w:val="24"/>
          <w:shd w:val="clear" w:color="auto" w:fill="FFFFFF"/>
        </w:rPr>
        <w:t>Corporate financial policy and the value of cash.</w:t>
      </w:r>
      <w:proofErr w:type="gramEnd"/>
      <w:r w:rsidRPr="00E107DA">
        <w:rPr>
          <w:rFonts w:ascii="Times New Roman" w:hAnsi="Times New Roman" w:cs="Times New Roman"/>
          <w:sz w:val="24"/>
          <w:szCs w:val="24"/>
          <w:shd w:val="clear" w:color="auto" w:fill="FFFFFF"/>
        </w:rPr>
        <w:t xml:space="preserve"> </w:t>
      </w:r>
      <w:r w:rsidRPr="00E107DA">
        <w:rPr>
          <w:rFonts w:ascii="Times New Roman" w:hAnsi="Times New Roman" w:cs="Times New Roman"/>
          <w:i/>
          <w:iCs/>
          <w:sz w:val="24"/>
          <w:szCs w:val="24"/>
          <w:shd w:val="clear" w:color="auto" w:fill="FFFFFF"/>
        </w:rPr>
        <w:t>Journal of Finance, American Finance Association, vol. 61(4)</w:t>
      </w:r>
      <w:r w:rsidRPr="00E107DA">
        <w:rPr>
          <w:rFonts w:ascii="Times New Roman" w:hAnsi="Times New Roman" w:cs="Times New Roman"/>
          <w:sz w:val="24"/>
          <w:szCs w:val="24"/>
          <w:shd w:val="clear" w:color="auto" w:fill="FFFFFF"/>
        </w:rPr>
        <w:t>, pages 1957-1990.</w:t>
      </w:r>
    </w:p>
    <w:p w:rsidR="00CA0361" w:rsidRPr="000E7D16" w:rsidRDefault="00CA0361" w:rsidP="00CA0361">
      <w:pPr>
        <w:jc w:val="both"/>
        <w:rPr>
          <w:rFonts w:ascii="Times New Roman" w:hAnsi="Times New Roman" w:cs="Times New Roman"/>
          <w:sz w:val="24"/>
          <w:szCs w:val="24"/>
        </w:rPr>
      </w:pPr>
      <w:proofErr w:type="spellStart"/>
      <w:r w:rsidRPr="000E7D16">
        <w:rPr>
          <w:rFonts w:ascii="Times New Roman" w:hAnsi="Times New Roman" w:cs="Times New Roman"/>
          <w:sz w:val="24"/>
          <w:szCs w:val="24"/>
        </w:rPr>
        <w:t>Husein</w:t>
      </w:r>
      <w:proofErr w:type="spellEnd"/>
      <w:r w:rsidRPr="000E7D16">
        <w:rPr>
          <w:rFonts w:ascii="Times New Roman" w:hAnsi="Times New Roman" w:cs="Times New Roman"/>
          <w:sz w:val="24"/>
          <w:szCs w:val="24"/>
        </w:rPr>
        <w:t xml:space="preserve">, K &amp; </w:t>
      </w:r>
      <w:proofErr w:type="spellStart"/>
      <w:r w:rsidRPr="000E7D16">
        <w:rPr>
          <w:rFonts w:ascii="Times New Roman" w:hAnsi="Times New Roman" w:cs="Times New Roman"/>
          <w:sz w:val="24"/>
          <w:szCs w:val="24"/>
        </w:rPr>
        <w:t>Omran</w:t>
      </w:r>
      <w:proofErr w:type="spellEnd"/>
      <w:r w:rsidRPr="000E7D16">
        <w:rPr>
          <w:rFonts w:ascii="Times New Roman" w:hAnsi="Times New Roman" w:cs="Times New Roman"/>
          <w:sz w:val="24"/>
          <w:szCs w:val="24"/>
        </w:rPr>
        <w:t xml:space="preserve">, M 2005, “Ethical investment revisited: Evidence from Dow Jones Islamic Indexes”, </w:t>
      </w:r>
      <w:r w:rsidRPr="000E7D16">
        <w:rPr>
          <w:rFonts w:ascii="Times New Roman" w:hAnsi="Times New Roman" w:cs="Times New Roman"/>
          <w:i/>
          <w:sz w:val="24"/>
          <w:szCs w:val="24"/>
        </w:rPr>
        <w:t>Journal of Investing</w:t>
      </w:r>
      <w:r w:rsidRPr="000E7D16">
        <w:rPr>
          <w:rFonts w:ascii="Times New Roman" w:hAnsi="Times New Roman" w:cs="Times New Roman"/>
          <w:sz w:val="24"/>
          <w:szCs w:val="24"/>
        </w:rPr>
        <w:t>, vol. 14, no. 3, pp. 105-124.</w:t>
      </w:r>
    </w:p>
    <w:p w:rsidR="00CA0361" w:rsidRDefault="00CA0361" w:rsidP="00CA0361">
      <w:pPr>
        <w:jc w:val="both"/>
        <w:rPr>
          <w:rFonts w:ascii="Times New Roman" w:hAnsi="Times New Roman" w:cs="Times New Roman"/>
          <w:sz w:val="24"/>
          <w:szCs w:val="24"/>
        </w:rPr>
      </w:pPr>
      <w:proofErr w:type="spellStart"/>
      <w:r w:rsidRPr="00E107DA">
        <w:rPr>
          <w:rFonts w:ascii="Times New Roman" w:hAnsi="Times New Roman" w:cs="Times New Roman"/>
          <w:sz w:val="24"/>
          <w:szCs w:val="24"/>
        </w:rPr>
        <w:t>Mazilan</w:t>
      </w:r>
      <w:proofErr w:type="spellEnd"/>
      <w:r w:rsidRPr="00E107DA">
        <w:rPr>
          <w:rFonts w:ascii="Times New Roman" w:hAnsi="Times New Roman" w:cs="Times New Roman"/>
          <w:sz w:val="24"/>
          <w:szCs w:val="24"/>
        </w:rPr>
        <w:t xml:space="preserve">, M. 2001. The performance of </w:t>
      </w:r>
      <w:proofErr w:type="spellStart"/>
      <w:r w:rsidRPr="00E107DA">
        <w:rPr>
          <w:rFonts w:ascii="Times New Roman" w:hAnsi="Times New Roman" w:cs="Times New Roman"/>
          <w:sz w:val="24"/>
          <w:szCs w:val="24"/>
        </w:rPr>
        <w:t>Syariah</w:t>
      </w:r>
      <w:proofErr w:type="spellEnd"/>
      <w:r w:rsidRPr="00E107DA">
        <w:rPr>
          <w:rFonts w:ascii="Times New Roman" w:hAnsi="Times New Roman" w:cs="Times New Roman"/>
          <w:sz w:val="24"/>
          <w:szCs w:val="24"/>
        </w:rPr>
        <w:t>-approved stocks of KLSE: a comparative study. Paper presented at IKIM</w:t>
      </w:r>
      <w:r>
        <w:rPr>
          <w:rFonts w:ascii="Times New Roman" w:hAnsi="Times New Roman" w:cs="Times New Roman"/>
          <w:sz w:val="24"/>
          <w:szCs w:val="24"/>
        </w:rPr>
        <w:t xml:space="preserve">, 13 – 14 February, 2001. </w:t>
      </w:r>
    </w:p>
    <w:p w:rsidR="00CA0361" w:rsidRDefault="00CA0361" w:rsidP="00CA0361">
      <w:pPr>
        <w:jc w:val="both"/>
        <w:rPr>
          <w:rFonts w:ascii="Times New Roman" w:hAnsi="Times New Roman" w:cs="Times New Roman"/>
          <w:sz w:val="24"/>
          <w:szCs w:val="24"/>
        </w:rPr>
      </w:pPr>
      <w:r w:rsidRPr="00E107DA">
        <w:rPr>
          <w:rFonts w:ascii="Times New Roman" w:hAnsi="Times New Roman" w:cs="Times New Roman"/>
          <w:sz w:val="24"/>
          <w:szCs w:val="24"/>
        </w:rPr>
        <w:t xml:space="preserve"> </w:t>
      </w:r>
      <w:r w:rsidRPr="000E7D16">
        <w:rPr>
          <w:rFonts w:ascii="Times New Roman" w:hAnsi="Times New Roman" w:cs="Times New Roman"/>
          <w:sz w:val="24"/>
          <w:szCs w:val="24"/>
        </w:rPr>
        <w:t xml:space="preserve">McGowan, C &amp; </w:t>
      </w:r>
      <w:proofErr w:type="spellStart"/>
      <w:r w:rsidRPr="000E7D16">
        <w:rPr>
          <w:rFonts w:ascii="Times New Roman" w:hAnsi="Times New Roman" w:cs="Times New Roman"/>
          <w:sz w:val="24"/>
          <w:szCs w:val="24"/>
        </w:rPr>
        <w:t>Junaina</w:t>
      </w:r>
      <w:proofErr w:type="spellEnd"/>
      <w:r w:rsidRPr="000E7D16">
        <w:rPr>
          <w:rFonts w:ascii="Times New Roman" w:hAnsi="Times New Roman" w:cs="Times New Roman"/>
          <w:sz w:val="24"/>
          <w:szCs w:val="24"/>
        </w:rPr>
        <w:t xml:space="preserve">, M 2010, “The Theoretical Impact Of The Listing Of </w:t>
      </w:r>
      <w:proofErr w:type="spellStart"/>
      <w:r w:rsidRPr="000E7D16">
        <w:rPr>
          <w:rFonts w:ascii="Times New Roman" w:hAnsi="Times New Roman" w:cs="Times New Roman"/>
          <w:sz w:val="24"/>
          <w:szCs w:val="24"/>
        </w:rPr>
        <w:t>Syariah</w:t>
      </w:r>
      <w:proofErr w:type="spellEnd"/>
      <w:r w:rsidRPr="000E7D16">
        <w:rPr>
          <w:rFonts w:ascii="Times New Roman" w:hAnsi="Times New Roman" w:cs="Times New Roman"/>
          <w:sz w:val="24"/>
          <w:szCs w:val="24"/>
        </w:rPr>
        <w:t xml:space="preserve">-Approved Stocks on Stock Price and Trading Volume”, </w:t>
      </w:r>
      <w:r w:rsidRPr="000E7D16">
        <w:rPr>
          <w:rFonts w:ascii="Times New Roman" w:hAnsi="Times New Roman" w:cs="Times New Roman"/>
          <w:i/>
          <w:sz w:val="24"/>
          <w:szCs w:val="24"/>
        </w:rPr>
        <w:t>International Business &amp; Economics Research Journal</w:t>
      </w:r>
      <w:r w:rsidRPr="000E7D16">
        <w:rPr>
          <w:rFonts w:ascii="Times New Roman" w:hAnsi="Times New Roman" w:cs="Times New Roman"/>
          <w:sz w:val="24"/>
          <w:szCs w:val="24"/>
        </w:rPr>
        <w:t>, Vol. 9, no. 3,  pp. 11-19.</w:t>
      </w:r>
    </w:p>
    <w:p w:rsidR="00CA0361" w:rsidRDefault="00CA0361" w:rsidP="00CA0361">
      <w:pPr>
        <w:jc w:val="both"/>
        <w:rPr>
          <w:rFonts w:ascii="Times New Roman" w:hAnsi="Times New Roman" w:cs="Times New Roman"/>
          <w:sz w:val="24"/>
          <w:szCs w:val="24"/>
        </w:rPr>
      </w:pPr>
      <w:r w:rsidRPr="00EC7877">
        <w:rPr>
          <w:rFonts w:ascii="Times New Roman" w:hAnsi="Times New Roman" w:cs="Times New Roman"/>
          <w:sz w:val="24"/>
          <w:szCs w:val="24"/>
        </w:rPr>
        <w:t xml:space="preserve">O´Rourke, A. (2003). </w:t>
      </w:r>
      <w:proofErr w:type="gramStart"/>
      <w:r w:rsidRPr="00EC7877">
        <w:rPr>
          <w:rFonts w:ascii="Times New Roman" w:hAnsi="Times New Roman" w:cs="Times New Roman"/>
          <w:sz w:val="24"/>
          <w:szCs w:val="24"/>
        </w:rPr>
        <w:t xml:space="preserve">The message and methods of ethical </w:t>
      </w:r>
      <w:r>
        <w:rPr>
          <w:rFonts w:ascii="Times New Roman" w:hAnsi="Times New Roman" w:cs="Times New Roman"/>
          <w:sz w:val="24"/>
          <w:szCs w:val="24"/>
        </w:rPr>
        <w:t>investment.</w:t>
      </w:r>
      <w:proofErr w:type="gramEnd"/>
      <w:r>
        <w:rPr>
          <w:rFonts w:ascii="Times New Roman" w:hAnsi="Times New Roman" w:cs="Times New Roman"/>
          <w:sz w:val="24"/>
          <w:szCs w:val="24"/>
        </w:rPr>
        <w:t xml:space="preserve"> Journal of Cleaner </w:t>
      </w:r>
      <w:proofErr w:type="gramStart"/>
      <w:r w:rsidRPr="00EC7877">
        <w:rPr>
          <w:rFonts w:ascii="Times New Roman" w:hAnsi="Times New Roman" w:cs="Times New Roman"/>
          <w:sz w:val="24"/>
          <w:szCs w:val="24"/>
        </w:rPr>
        <w:t>Production ,</w:t>
      </w:r>
      <w:proofErr w:type="gramEnd"/>
      <w:r w:rsidRPr="00EC7877">
        <w:rPr>
          <w:rFonts w:ascii="Times New Roman" w:hAnsi="Times New Roman" w:cs="Times New Roman"/>
          <w:sz w:val="24"/>
          <w:szCs w:val="24"/>
        </w:rPr>
        <w:t xml:space="preserve"> 11, 683-693.</w:t>
      </w:r>
    </w:p>
    <w:p w:rsidR="00CA0361" w:rsidRPr="000E7D16" w:rsidRDefault="00CA0361" w:rsidP="00CA0361">
      <w:pPr>
        <w:jc w:val="both"/>
        <w:rPr>
          <w:rFonts w:ascii="Times New Roman" w:hAnsi="Times New Roman" w:cs="Times New Roman"/>
          <w:sz w:val="24"/>
          <w:szCs w:val="24"/>
        </w:rPr>
      </w:pPr>
      <w:proofErr w:type="spellStart"/>
      <w:proofErr w:type="gramStart"/>
      <w:r w:rsidRPr="00E107DA">
        <w:rPr>
          <w:rFonts w:ascii="Times New Roman" w:hAnsi="Times New Roman" w:cs="Times New Roman"/>
          <w:sz w:val="24"/>
          <w:szCs w:val="24"/>
        </w:rPr>
        <w:t>Pinkowitz</w:t>
      </w:r>
      <w:proofErr w:type="spellEnd"/>
      <w:r w:rsidRPr="00E107DA">
        <w:rPr>
          <w:rFonts w:ascii="Times New Roman" w:hAnsi="Times New Roman" w:cs="Times New Roman"/>
          <w:sz w:val="24"/>
          <w:szCs w:val="24"/>
        </w:rPr>
        <w:t xml:space="preserve">, L., </w:t>
      </w:r>
      <w:proofErr w:type="spellStart"/>
      <w:r w:rsidRPr="00E107DA">
        <w:rPr>
          <w:rFonts w:ascii="Times New Roman" w:hAnsi="Times New Roman" w:cs="Times New Roman"/>
          <w:sz w:val="24"/>
          <w:szCs w:val="24"/>
        </w:rPr>
        <w:t>Stulz</w:t>
      </w:r>
      <w:proofErr w:type="spellEnd"/>
      <w:r w:rsidRPr="00E107DA">
        <w:rPr>
          <w:rFonts w:ascii="Times New Roman" w:hAnsi="Times New Roman" w:cs="Times New Roman"/>
          <w:sz w:val="24"/>
          <w:szCs w:val="24"/>
        </w:rPr>
        <w:t>, R., &amp; Williamson, R. (2006).</w:t>
      </w:r>
      <w:proofErr w:type="gramEnd"/>
      <w:r w:rsidRPr="00E107DA">
        <w:rPr>
          <w:rFonts w:ascii="Times New Roman" w:hAnsi="Times New Roman" w:cs="Times New Roman"/>
          <w:sz w:val="24"/>
          <w:szCs w:val="24"/>
        </w:rPr>
        <w:t xml:space="preserve"> Does the contribution of corporate cash holdings and dividends to firm value depend on governance? </w:t>
      </w:r>
      <w:proofErr w:type="gramStart"/>
      <w:r w:rsidRPr="00E107DA">
        <w:rPr>
          <w:rFonts w:ascii="Times New Roman" w:hAnsi="Times New Roman" w:cs="Times New Roman"/>
          <w:sz w:val="24"/>
          <w:szCs w:val="24"/>
        </w:rPr>
        <w:t>A cross-country analysis.</w:t>
      </w:r>
      <w:proofErr w:type="gramEnd"/>
      <w:r w:rsidRPr="00E107DA">
        <w:rPr>
          <w:rFonts w:ascii="Times New Roman" w:hAnsi="Times New Roman" w:cs="Times New Roman"/>
          <w:sz w:val="24"/>
          <w:szCs w:val="24"/>
        </w:rPr>
        <w:t xml:space="preserve"> </w:t>
      </w:r>
      <w:proofErr w:type="gramStart"/>
      <w:r w:rsidRPr="00E107DA">
        <w:rPr>
          <w:rFonts w:ascii="Times New Roman" w:hAnsi="Times New Roman" w:cs="Times New Roman"/>
          <w:i/>
          <w:iCs/>
          <w:sz w:val="24"/>
          <w:szCs w:val="24"/>
        </w:rPr>
        <w:t>Journal of Finance, 61</w:t>
      </w:r>
      <w:r w:rsidRPr="00E107DA">
        <w:rPr>
          <w:rFonts w:ascii="Times New Roman" w:hAnsi="Times New Roman" w:cs="Times New Roman"/>
          <w:sz w:val="24"/>
          <w:szCs w:val="24"/>
        </w:rPr>
        <w:t>(6), pages 2725 - 2751.</w:t>
      </w:r>
      <w:proofErr w:type="gramEnd"/>
    </w:p>
    <w:p w:rsidR="00CA0361" w:rsidRDefault="00CA0361" w:rsidP="00CA0361">
      <w:pPr>
        <w:jc w:val="both"/>
        <w:rPr>
          <w:rFonts w:ascii="Times New Roman" w:hAnsi="Times New Roman" w:cs="Times New Roman"/>
          <w:sz w:val="24"/>
          <w:szCs w:val="24"/>
        </w:rPr>
      </w:pPr>
      <w:proofErr w:type="spellStart"/>
      <w:proofErr w:type="gramStart"/>
      <w:r w:rsidRPr="000E7D16">
        <w:rPr>
          <w:rFonts w:ascii="Times New Roman" w:hAnsi="Times New Roman" w:cs="Times New Roman"/>
          <w:sz w:val="24"/>
          <w:szCs w:val="24"/>
        </w:rPr>
        <w:t>Rahman</w:t>
      </w:r>
      <w:proofErr w:type="spellEnd"/>
      <w:r w:rsidRPr="000E7D16">
        <w:rPr>
          <w:rFonts w:ascii="Times New Roman" w:hAnsi="Times New Roman" w:cs="Times New Roman"/>
          <w:sz w:val="24"/>
          <w:szCs w:val="24"/>
        </w:rPr>
        <w:t xml:space="preserve">, F. A. and </w:t>
      </w:r>
      <w:proofErr w:type="spellStart"/>
      <w:r w:rsidRPr="000E7D16">
        <w:rPr>
          <w:rFonts w:ascii="Times New Roman" w:hAnsi="Times New Roman" w:cs="Times New Roman"/>
          <w:sz w:val="24"/>
          <w:szCs w:val="24"/>
        </w:rPr>
        <w:t>Wajdi</w:t>
      </w:r>
      <w:proofErr w:type="spellEnd"/>
      <w:r w:rsidRPr="000E7D16">
        <w:rPr>
          <w:rFonts w:ascii="Times New Roman" w:hAnsi="Times New Roman" w:cs="Times New Roman"/>
          <w:sz w:val="24"/>
          <w:szCs w:val="24"/>
        </w:rPr>
        <w:t>, F. M. (2006).</w:t>
      </w:r>
      <w:proofErr w:type="gramEnd"/>
      <w:r w:rsidRPr="000E7D16">
        <w:rPr>
          <w:rFonts w:ascii="Times New Roman" w:hAnsi="Times New Roman" w:cs="Times New Roman"/>
          <w:sz w:val="24"/>
          <w:szCs w:val="24"/>
        </w:rPr>
        <w:t xml:space="preserve"> Dividend Signaling Hypothesis and Agency Cost: An Investigation on </w:t>
      </w:r>
      <w:proofErr w:type="spellStart"/>
      <w:r w:rsidRPr="000E7D16">
        <w:rPr>
          <w:rFonts w:ascii="Times New Roman" w:hAnsi="Times New Roman" w:cs="Times New Roman"/>
          <w:sz w:val="24"/>
          <w:szCs w:val="24"/>
        </w:rPr>
        <w:t>Shariah</w:t>
      </w:r>
      <w:proofErr w:type="spellEnd"/>
      <w:r w:rsidRPr="000E7D16">
        <w:rPr>
          <w:rFonts w:ascii="Times New Roman" w:hAnsi="Times New Roman" w:cs="Times New Roman"/>
          <w:sz w:val="24"/>
          <w:szCs w:val="24"/>
        </w:rPr>
        <w:t xml:space="preserve"> and Non </w:t>
      </w:r>
      <w:proofErr w:type="spellStart"/>
      <w:r w:rsidRPr="000E7D16">
        <w:rPr>
          <w:rFonts w:ascii="Times New Roman" w:hAnsi="Times New Roman" w:cs="Times New Roman"/>
          <w:sz w:val="24"/>
          <w:szCs w:val="24"/>
        </w:rPr>
        <w:t>Shariah</w:t>
      </w:r>
      <w:proofErr w:type="spellEnd"/>
      <w:r w:rsidRPr="000E7D16">
        <w:rPr>
          <w:rFonts w:ascii="Times New Roman" w:hAnsi="Times New Roman" w:cs="Times New Roman"/>
          <w:sz w:val="24"/>
          <w:szCs w:val="24"/>
        </w:rPr>
        <w:t xml:space="preserve"> Compliant Firms in Kuala Lumpur. </w:t>
      </w:r>
      <w:proofErr w:type="spellStart"/>
      <w:r w:rsidRPr="000E7D16">
        <w:rPr>
          <w:rFonts w:ascii="Times New Roman" w:hAnsi="Times New Roman" w:cs="Times New Roman"/>
          <w:i/>
          <w:iCs/>
          <w:sz w:val="24"/>
          <w:szCs w:val="24"/>
        </w:rPr>
        <w:t>Shariah</w:t>
      </w:r>
      <w:proofErr w:type="spellEnd"/>
      <w:r w:rsidRPr="000E7D16">
        <w:rPr>
          <w:rFonts w:ascii="Times New Roman" w:hAnsi="Times New Roman" w:cs="Times New Roman"/>
          <w:i/>
          <w:iCs/>
          <w:sz w:val="24"/>
          <w:szCs w:val="24"/>
        </w:rPr>
        <w:t xml:space="preserve"> Index </w:t>
      </w:r>
      <w:proofErr w:type="spellStart"/>
      <w:r w:rsidRPr="000E7D16">
        <w:rPr>
          <w:rFonts w:ascii="Times New Roman" w:hAnsi="Times New Roman" w:cs="Times New Roman"/>
          <w:i/>
          <w:iCs/>
          <w:sz w:val="24"/>
          <w:szCs w:val="24"/>
        </w:rPr>
        <w:t>Empirika</w:t>
      </w:r>
      <w:proofErr w:type="spellEnd"/>
      <w:r w:rsidRPr="000E7D16">
        <w:rPr>
          <w:rFonts w:ascii="Times New Roman" w:hAnsi="Times New Roman" w:cs="Times New Roman"/>
          <w:sz w:val="24"/>
          <w:szCs w:val="24"/>
        </w:rPr>
        <w:t>, 19(1): 1-9.</w:t>
      </w:r>
    </w:p>
    <w:p w:rsidR="00CA0361" w:rsidRPr="000E7D16" w:rsidRDefault="00CA0361" w:rsidP="00CA0361">
      <w:pPr>
        <w:jc w:val="both"/>
        <w:rPr>
          <w:rFonts w:ascii="Times New Roman" w:hAnsi="Times New Roman" w:cs="Times New Roman"/>
          <w:sz w:val="24"/>
          <w:szCs w:val="24"/>
        </w:rPr>
      </w:pPr>
      <w:proofErr w:type="gramStart"/>
      <w:r w:rsidRPr="005E3B5F">
        <w:rPr>
          <w:rFonts w:ascii="Times New Roman" w:hAnsi="Times New Roman" w:cs="Times New Roman"/>
          <w:sz w:val="24"/>
          <w:szCs w:val="24"/>
        </w:rPr>
        <w:t>Reilly, F. K. and Norton, A. E. (2006),</w:t>
      </w:r>
      <w:r>
        <w:rPr>
          <w:rFonts w:ascii="Times New Roman" w:hAnsi="Times New Roman" w:cs="Times New Roman"/>
          <w:sz w:val="24"/>
          <w:szCs w:val="24"/>
        </w:rPr>
        <w:t xml:space="preserve"> E. A., “Investments”, Seventh </w:t>
      </w:r>
      <w:r w:rsidRPr="005E3B5F">
        <w:rPr>
          <w:rFonts w:ascii="Times New Roman" w:hAnsi="Times New Roman" w:cs="Times New Roman"/>
          <w:sz w:val="24"/>
          <w:szCs w:val="24"/>
        </w:rPr>
        <w:t xml:space="preserve">Edition, Ed. Thomson </w:t>
      </w:r>
      <w:proofErr w:type="spellStart"/>
      <w:r w:rsidRPr="005E3B5F">
        <w:rPr>
          <w:rFonts w:ascii="Times New Roman" w:hAnsi="Times New Roman" w:cs="Times New Roman"/>
          <w:sz w:val="24"/>
          <w:szCs w:val="24"/>
        </w:rPr>
        <w:t>SouthWestern</w:t>
      </w:r>
      <w:proofErr w:type="spellEnd"/>
      <w:r w:rsidRPr="005E3B5F">
        <w:rPr>
          <w:rFonts w:ascii="Times New Roman" w:hAnsi="Times New Roman" w:cs="Times New Roman"/>
          <w:sz w:val="24"/>
          <w:szCs w:val="24"/>
        </w:rPr>
        <w:t>, Canada.</w:t>
      </w:r>
      <w:proofErr w:type="gramEnd"/>
    </w:p>
    <w:p w:rsidR="00CA0361" w:rsidRDefault="00CA0361" w:rsidP="00CA0361">
      <w:pPr>
        <w:jc w:val="both"/>
        <w:rPr>
          <w:rFonts w:ascii="Times New Roman" w:hAnsi="Times New Roman" w:cs="Times New Roman"/>
          <w:sz w:val="24"/>
          <w:szCs w:val="24"/>
        </w:rPr>
      </w:pPr>
      <w:r w:rsidRPr="000E7D16">
        <w:rPr>
          <w:rFonts w:ascii="Times New Roman" w:hAnsi="Times New Roman" w:cs="Times New Roman"/>
          <w:sz w:val="24"/>
          <w:szCs w:val="24"/>
        </w:rPr>
        <w:lastRenderedPageBreak/>
        <w:t xml:space="preserve">Ulrich, D &amp; </w:t>
      </w:r>
      <w:proofErr w:type="spellStart"/>
      <w:r w:rsidRPr="000E7D16">
        <w:rPr>
          <w:rFonts w:ascii="Times New Roman" w:hAnsi="Times New Roman" w:cs="Times New Roman"/>
          <w:sz w:val="24"/>
          <w:szCs w:val="24"/>
        </w:rPr>
        <w:t>Marzban</w:t>
      </w:r>
      <w:proofErr w:type="spellEnd"/>
      <w:r w:rsidRPr="000E7D16">
        <w:rPr>
          <w:rFonts w:ascii="Times New Roman" w:hAnsi="Times New Roman" w:cs="Times New Roman"/>
          <w:sz w:val="24"/>
          <w:szCs w:val="24"/>
        </w:rPr>
        <w:t xml:space="preserve">, S, 2008, “Review and Analysis of Current </w:t>
      </w:r>
      <w:proofErr w:type="spellStart"/>
      <w:r w:rsidRPr="000E7D16">
        <w:rPr>
          <w:rFonts w:ascii="Times New Roman" w:hAnsi="Times New Roman" w:cs="Times New Roman"/>
          <w:sz w:val="24"/>
          <w:szCs w:val="24"/>
        </w:rPr>
        <w:t>Shariah</w:t>
      </w:r>
      <w:proofErr w:type="spellEnd"/>
      <w:r w:rsidRPr="000E7D16">
        <w:rPr>
          <w:rFonts w:ascii="Times New Roman" w:hAnsi="Times New Roman" w:cs="Times New Roman"/>
          <w:sz w:val="24"/>
          <w:szCs w:val="24"/>
        </w:rPr>
        <w:t xml:space="preserve">-Compliant Equity Screening Practices”, </w:t>
      </w:r>
      <w:r w:rsidRPr="000E7D16">
        <w:rPr>
          <w:rFonts w:ascii="Times New Roman" w:hAnsi="Times New Roman" w:cs="Times New Roman"/>
          <w:i/>
          <w:sz w:val="24"/>
          <w:szCs w:val="24"/>
        </w:rPr>
        <w:t>International Journal of Islamic and Middle Eastern Finance and Management</w:t>
      </w:r>
      <w:r w:rsidRPr="000E7D16">
        <w:rPr>
          <w:rFonts w:ascii="Times New Roman" w:hAnsi="Times New Roman" w:cs="Times New Roman"/>
          <w:sz w:val="24"/>
          <w:szCs w:val="24"/>
        </w:rPr>
        <w:t>, 1(4), 285-303.</w:t>
      </w:r>
    </w:p>
    <w:p w:rsidR="00CA0361" w:rsidRPr="000E7D16" w:rsidRDefault="00CA0361" w:rsidP="00CA0361">
      <w:pPr>
        <w:jc w:val="both"/>
        <w:rPr>
          <w:rFonts w:ascii="Times New Roman" w:hAnsi="Times New Roman" w:cs="Times New Roman"/>
          <w:sz w:val="24"/>
          <w:szCs w:val="24"/>
        </w:rPr>
      </w:pPr>
      <w:proofErr w:type="spellStart"/>
      <w:r w:rsidRPr="00EC7877">
        <w:rPr>
          <w:rFonts w:ascii="Times New Roman" w:hAnsi="Times New Roman" w:cs="Times New Roman"/>
          <w:sz w:val="24"/>
          <w:szCs w:val="24"/>
        </w:rPr>
        <w:t>Usmani</w:t>
      </w:r>
      <w:proofErr w:type="spellEnd"/>
      <w:r w:rsidRPr="00EC7877">
        <w:rPr>
          <w:rFonts w:ascii="Times New Roman" w:hAnsi="Times New Roman" w:cs="Times New Roman"/>
          <w:sz w:val="24"/>
          <w:szCs w:val="24"/>
        </w:rPr>
        <w:t xml:space="preserve">, T.S., 1999.SAB-SCP (Sharia Appellant Bench. </w:t>
      </w:r>
      <w:proofErr w:type="gramStart"/>
      <w:r w:rsidRPr="00EC7877">
        <w:rPr>
          <w:rFonts w:ascii="Times New Roman" w:hAnsi="Times New Roman" w:cs="Times New Roman"/>
          <w:sz w:val="24"/>
          <w:szCs w:val="24"/>
        </w:rPr>
        <w:t>S</w:t>
      </w:r>
      <w:r>
        <w:rPr>
          <w:rFonts w:ascii="Times New Roman" w:hAnsi="Times New Roman" w:cs="Times New Roman"/>
          <w:sz w:val="24"/>
          <w:szCs w:val="24"/>
        </w:rPr>
        <w:t>upreme court of Pakistan).</w:t>
      </w:r>
      <w:proofErr w:type="gramEnd"/>
      <w:r>
        <w:rPr>
          <w:rFonts w:ascii="Times New Roman" w:hAnsi="Times New Roman" w:cs="Times New Roman"/>
          <w:sz w:val="24"/>
          <w:szCs w:val="24"/>
        </w:rPr>
        <w:t xml:space="preserve"> </w:t>
      </w:r>
    </w:p>
    <w:p w:rsidR="00CA0361" w:rsidRPr="000E7D16" w:rsidRDefault="00CA0361" w:rsidP="00CA0361">
      <w:pPr>
        <w:jc w:val="both"/>
        <w:rPr>
          <w:rFonts w:ascii="Times New Roman" w:hAnsi="Times New Roman" w:cs="Times New Roman"/>
          <w:sz w:val="24"/>
          <w:szCs w:val="24"/>
        </w:rPr>
      </w:pPr>
      <w:proofErr w:type="spellStart"/>
      <w:proofErr w:type="gramStart"/>
      <w:r w:rsidRPr="000E7D16">
        <w:rPr>
          <w:rFonts w:ascii="Times New Roman" w:hAnsi="Times New Roman" w:cs="Times New Roman"/>
          <w:sz w:val="24"/>
          <w:szCs w:val="24"/>
        </w:rPr>
        <w:t>Yusof</w:t>
      </w:r>
      <w:proofErr w:type="spellEnd"/>
      <w:r w:rsidRPr="000E7D16">
        <w:rPr>
          <w:rFonts w:ascii="Times New Roman" w:hAnsi="Times New Roman" w:cs="Times New Roman"/>
          <w:sz w:val="24"/>
          <w:szCs w:val="24"/>
        </w:rPr>
        <w:t xml:space="preserve">, M. R. and </w:t>
      </w:r>
      <w:proofErr w:type="spellStart"/>
      <w:r w:rsidRPr="000E7D16">
        <w:rPr>
          <w:rFonts w:ascii="Times New Roman" w:hAnsi="Times New Roman" w:cs="Times New Roman"/>
          <w:sz w:val="24"/>
          <w:szCs w:val="24"/>
        </w:rPr>
        <w:t>Abd</w:t>
      </w:r>
      <w:proofErr w:type="spellEnd"/>
      <w:r w:rsidRPr="000E7D16">
        <w:rPr>
          <w:rFonts w:ascii="Times New Roman" w:hAnsi="Times New Roman" w:cs="Times New Roman"/>
          <w:sz w:val="24"/>
          <w:szCs w:val="24"/>
        </w:rPr>
        <w:t>.</w:t>
      </w:r>
      <w:proofErr w:type="gramEnd"/>
      <w:r w:rsidRPr="000E7D16">
        <w:rPr>
          <w:rFonts w:ascii="Times New Roman" w:hAnsi="Times New Roman" w:cs="Times New Roman"/>
          <w:sz w:val="24"/>
          <w:szCs w:val="24"/>
        </w:rPr>
        <w:t xml:space="preserve"> </w:t>
      </w:r>
      <w:proofErr w:type="spellStart"/>
      <w:r w:rsidRPr="000E7D16">
        <w:rPr>
          <w:rFonts w:ascii="Times New Roman" w:hAnsi="Times New Roman" w:cs="Times New Roman"/>
          <w:sz w:val="24"/>
          <w:szCs w:val="24"/>
        </w:rPr>
        <w:t>Majid</w:t>
      </w:r>
      <w:proofErr w:type="spellEnd"/>
      <w:r w:rsidRPr="000E7D16">
        <w:rPr>
          <w:rFonts w:ascii="Times New Roman" w:hAnsi="Times New Roman" w:cs="Times New Roman"/>
          <w:sz w:val="24"/>
          <w:szCs w:val="24"/>
        </w:rPr>
        <w:t xml:space="preserve">, S. M. (2007). Stock Market Volatility Transmission in Malaysia: Islamic Versus Conventional Stock Market J. KAU: </w:t>
      </w:r>
      <w:r w:rsidRPr="000E7D16">
        <w:rPr>
          <w:rFonts w:ascii="Times New Roman" w:hAnsi="Times New Roman" w:cs="Times New Roman"/>
          <w:i/>
          <w:iCs/>
          <w:sz w:val="24"/>
          <w:szCs w:val="24"/>
        </w:rPr>
        <w:t>Islamic Econ</w:t>
      </w:r>
      <w:r w:rsidRPr="000E7D16">
        <w:rPr>
          <w:rFonts w:ascii="Times New Roman" w:hAnsi="Times New Roman" w:cs="Times New Roman"/>
          <w:sz w:val="24"/>
          <w:szCs w:val="24"/>
        </w:rPr>
        <w:t>. 20(2): 17-35.</w:t>
      </w:r>
    </w:p>
    <w:p w:rsidR="00CA0361" w:rsidRDefault="00CA0361" w:rsidP="00CA0361">
      <w:pPr>
        <w:jc w:val="both"/>
        <w:rPr>
          <w:rFonts w:ascii="Times New Roman" w:hAnsi="Times New Roman" w:cs="Times New Roman"/>
          <w:sz w:val="24"/>
          <w:szCs w:val="24"/>
        </w:rPr>
      </w:pPr>
      <w:proofErr w:type="spellStart"/>
      <w:r w:rsidRPr="005E3B5F">
        <w:rPr>
          <w:rFonts w:ascii="Times New Roman" w:hAnsi="Times New Roman" w:cs="Times New Roman"/>
          <w:sz w:val="24"/>
          <w:szCs w:val="24"/>
        </w:rPr>
        <w:t>Zamri</w:t>
      </w:r>
      <w:proofErr w:type="spellEnd"/>
      <w:r w:rsidRPr="005E3B5F">
        <w:rPr>
          <w:rFonts w:ascii="Times New Roman" w:hAnsi="Times New Roman" w:cs="Times New Roman"/>
          <w:sz w:val="24"/>
          <w:szCs w:val="24"/>
        </w:rPr>
        <w:t xml:space="preserve"> Ahmad, </w:t>
      </w:r>
      <w:proofErr w:type="spellStart"/>
      <w:r w:rsidRPr="005E3B5F">
        <w:rPr>
          <w:rFonts w:ascii="Times New Roman" w:hAnsi="Times New Roman" w:cs="Times New Roman"/>
          <w:sz w:val="24"/>
          <w:szCs w:val="24"/>
        </w:rPr>
        <w:t>Haslindar</w:t>
      </w:r>
      <w:proofErr w:type="spellEnd"/>
      <w:r w:rsidRPr="005E3B5F">
        <w:rPr>
          <w:rFonts w:ascii="Times New Roman" w:hAnsi="Times New Roman" w:cs="Times New Roman"/>
          <w:sz w:val="24"/>
          <w:szCs w:val="24"/>
        </w:rPr>
        <w:t xml:space="preserve"> Ibrahim &amp; </w:t>
      </w:r>
      <w:proofErr w:type="spellStart"/>
      <w:r w:rsidRPr="005E3B5F">
        <w:rPr>
          <w:rFonts w:ascii="Times New Roman" w:hAnsi="Times New Roman" w:cs="Times New Roman"/>
          <w:sz w:val="24"/>
          <w:szCs w:val="24"/>
        </w:rPr>
        <w:t>Yuserrie</w:t>
      </w:r>
      <w:proofErr w:type="spellEnd"/>
      <w:r w:rsidRPr="005E3B5F">
        <w:rPr>
          <w:rFonts w:ascii="Times New Roman" w:hAnsi="Times New Roman" w:cs="Times New Roman"/>
          <w:sz w:val="24"/>
          <w:szCs w:val="24"/>
        </w:rPr>
        <w:t xml:space="preserve"> </w:t>
      </w:r>
      <w:proofErr w:type="spellStart"/>
      <w:r w:rsidRPr="005E3B5F">
        <w:rPr>
          <w:rFonts w:ascii="Times New Roman" w:hAnsi="Times New Roman" w:cs="Times New Roman"/>
          <w:sz w:val="24"/>
          <w:szCs w:val="24"/>
        </w:rPr>
        <w:t>Zainuddin</w:t>
      </w:r>
      <w:proofErr w:type="spellEnd"/>
      <w:r w:rsidRPr="005E3B5F">
        <w:rPr>
          <w:rFonts w:ascii="Times New Roman" w:hAnsi="Times New Roman" w:cs="Times New Roman"/>
          <w:sz w:val="24"/>
          <w:szCs w:val="24"/>
        </w:rPr>
        <w:t xml:space="preserve"> (2003), The Impact of Delisting from KLSE </w:t>
      </w:r>
      <w:proofErr w:type="spellStart"/>
      <w:r w:rsidRPr="005E3B5F">
        <w:rPr>
          <w:rFonts w:ascii="Times New Roman" w:hAnsi="Times New Roman" w:cs="Times New Roman"/>
          <w:sz w:val="24"/>
          <w:szCs w:val="24"/>
        </w:rPr>
        <w:t>Syariah</w:t>
      </w:r>
      <w:proofErr w:type="spellEnd"/>
      <w:r w:rsidRPr="005E3B5F">
        <w:rPr>
          <w:rFonts w:ascii="Times New Roman" w:hAnsi="Times New Roman" w:cs="Times New Roman"/>
          <w:sz w:val="24"/>
          <w:szCs w:val="24"/>
        </w:rPr>
        <w:t xml:space="preserve"> Index: An Empirical Study, The Journal of Accounting, Management &amp; Economics Research,  3(2), 109-118</w:t>
      </w:r>
      <w:r>
        <w:rPr>
          <w:rFonts w:ascii="Times New Roman" w:hAnsi="Times New Roman" w:cs="Times New Roman"/>
          <w:sz w:val="24"/>
          <w:szCs w:val="24"/>
        </w:rPr>
        <w:t>.</w:t>
      </w:r>
    </w:p>
    <w:p w:rsidR="00CA0361" w:rsidRPr="00063911" w:rsidRDefault="00CA0361" w:rsidP="00CA0361">
      <w:pPr>
        <w:rPr>
          <w:b/>
        </w:rPr>
      </w:pPr>
    </w:p>
    <w:sectPr w:rsidR="00CA0361" w:rsidRPr="000639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75" w:rsidRDefault="00B91A75" w:rsidP="004116D4">
      <w:pPr>
        <w:spacing w:after="0" w:line="240" w:lineRule="auto"/>
      </w:pPr>
      <w:r>
        <w:separator/>
      </w:r>
    </w:p>
  </w:endnote>
  <w:endnote w:type="continuationSeparator" w:id="0">
    <w:p w:rsidR="00B91A75" w:rsidRDefault="00B91A75" w:rsidP="004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75" w:rsidRDefault="00B91A75" w:rsidP="004116D4">
      <w:pPr>
        <w:spacing w:after="0" w:line="240" w:lineRule="auto"/>
      </w:pPr>
      <w:r>
        <w:separator/>
      </w:r>
    </w:p>
  </w:footnote>
  <w:footnote w:type="continuationSeparator" w:id="0">
    <w:p w:rsidR="00B91A75" w:rsidRDefault="00B91A75" w:rsidP="004116D4">
      <w:pPr>
        <w:spacing w:after="0" w:line="240" w:lineRule="auto"/>
      </w:pPr>
      <w:r>
        <w:continuationSeparator/>
      </w:r>
    </w:p>
  </w:footnote>
  <w:footnote w:id="1">
    <w:p w:rsidR="00202C46" w:rsidRDefault="00202C46" w:rsidP="004116D4">
      <w:pPr>
        <w:pStyle w:val="FootnoteText"/>
      </w:pPr>
      <w:r>
        <w:rPr>
          <w:rStyle w:val="FootnoteReference"/>
        </w:rPr>
        <w:footnoteRef/>
      </w:r>
      <w:r>
        <w:t xml:space="preserve"> </w:t>
      </w:r>
      <w:r w:rsidRPr="00963BBB">
        <w:rPr>
          <w:rFonts w:ascii="Times New Roman" w:hAnsi="Times New Roman" w:cs="Times New Roman"/>
        </w:rPr>
        <w:t>The importance of macroeconomic risk factors in explaining the cash ratio of high cash holding firms are hinted at in the fixed-effect regression, shown by the increase in the adjusted R-square in the results of fixed-effect regression from Model 1 to Model 2 after including macroeconomic risk factors</w:t>
      </w:r>
      <w:r>
        <w:rPr>
          <w:rFonts w:ascii="Times New Roman" w:hAnsi="Times New Roman" w:cs="Times New Roman"/>
        </w:rPr>
        <w:t>, as shown in appendix</w:t>
      </w:r>
      <w:r w:rsidRPr="00963BB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D24"/>
    <w:multiLevelType w:val="multilevel"/>
    <w:tmpl w:val="FB0ECE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F44361"/>
    <w:multiLevelType w:val="hybridMultilevel"/>
    <w:tmpl w:val="662E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62C8"/>
    <w:multiLevelType w:val="hybridMultilevel"/>
    <w:tmpl w:val="B1F0DE9C"/>
    <w:lvl w:ilvl="0" w:tplc="935CC708">
      <w:numFmt w:val="bullet"/>
      <w:lvlText w:val="-"/>
      <w:lvlJc w:val="left"/>
      <w:pPr>
        <w:ind w:left="1425" w:hanging="705"/>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403D8"/>
    <w:multiLevelType w:val="hybridMultilevel"/>
    <w:tmpl w:val="C8DAD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A7CE5"/>
    <w:multiLevelType w:val="hybridMultilevel"/>
    <w:tmpl w:val="6EDA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770A7"/>
    <w:multiLevelType w:val="hybridMultilevel"/>
    <w:tmpl w:val="0450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B505A"/>
    <w:multiLevelType w:val="hybridMultilevel"/>
    <w:tmpl w:val="CB728226"/>
    <w:lvl w:ilvl="0" w:tplc="70EA4738">
      <w:start w:val="1"/>
      <w:numFmt w:val="bullet"/>
      <w:lvlText w:val=""/>
      <w:lvlJc w:val="left"/>
      <w:pPr>
        <w:tabs>
          <w:tab w:val="num" w:pos="720"/>
        </w:tabs>
        <w:ind w:left="720" w:hanging="360"/>
      </w:pPr>
      <w:rPr>
        <w:rFonts w:ascii="Wingdings 2" w:hAnsi="Wingdings 2" w:hint="default"/>
      </w:rPr>
    </w:lvl>
    <w:lvl w:ilvl="1" w:tplc="7E003BBC" w:tentative="1">
      <w:start w:val="1"/>
      <w:numFmt w:val="bullet"/>
      <w:lvlText w:val=""/>
      <w:lvlJc w:val="left"/>
      <w:pPr>
        <w:tabs>
          <w:tab w:val="num" w:pos="1440"/>
        </w:tabs>
        <w:ind w:left="1440" w:hanging="360"/>
      </w:pPr>
      <w:rPr>
        <w:rFonts w:ascii="Wingdings 2" w:hAnsi="Wingdings 2" w:hint="default"/>
      </w:rPr>
    </w:lvl>
    <w:lvl w:ilvl="2" w:tplc="01961ACA" w:tentative="1">
      <w:start w:val="1"/>
      <w:numFmt w:val="bullet"/>
      <w:lvlText w:val=""/>
      <w:lvlJc w:val="left"/>
      <w:pPr>
        <w:tabs>
          <w:tab w:val="num" w:pos="2160"/>
        </w:tabs>
        <w:ind w:left="2160" w:hanging="360"/>
      </w:pPr>
      <w:rPr>
        <w:rFonts w:ascii="Wingdings 2" w:hAnsi="Wingdings 2" w:hint="default"/>
      </w:rPr>
    </w:lvl>
    <w:lvl w:ilvl="3" w:tplc="0A663E68" w:tentative="1">
      <w:start w:val="1"/>
      <w:numFmt w:val="bullet"/>
      <w:lvlText w:val=""/>
      <w:lvlJc w:val="left"/>
      <w:pPr>
        <w:tabs>
          <w:tab w:val="num" w:pos="2880"/>
        </w:tabs>
        <w:ind w:left="2880" w:hanging="360"/>
      </w:pPr>
      <w:rPr>
        <w:rFonts w:ascii="Wingdings 2" w:hAnsi="Wingdings 2" w:hint="default"/>
      </w:rPr>
    </w:lvl>
    <w:lvl w:ilvl="4" w:tplc="92680D4C" w:tentative="1">
      <w:start w:val="1"/>
      <w:numFmt w:val="bullet"/>
      <w:lvlText w:val=""/>
      <w:lvlJc w:val="left"/>
      <w:pPr>
        <w:tabs>
          <w:tab w:val="num" w:pos="3600"/>
        </w:tabs>
        <w:ind w:left="3600" w:hanging="360"/>
      </w:pPr>
      <w:rPr>
        <w:rFonts w:ascii="Wingdings 2" w:hAnsi="Wingdings 2" w:hint="default"/>
      </w:rPr>
    </w:lvl>
    <w:lvl w:ilvl="5" w:tplc="9A5094C2" w:tentative="1">
      <w:start w:val="1"/>
      <w:numFmt w:val="bullet"/>
      <w:lvlText w:val=""/>
      <w:lvlJc w:val="left"/>
      <w:pPr>
        <w:tabs>
          <w:tab w:val="num" w:pos="4320"/>
        </w:tabs>
        <w:ind w:left="4320" w:hanging="360"/>
      </w:pPr>
      <w:rPr>
        <w:rFonts w:ascii="Wingdings 2" w:hAnsi="Wingdings 2" w:hint="default"/>
      </w:rPr>
    </w:lvl>
    <w:lvl w:ilvl="6" w:tplc="449C832E" w:tentative="1">
      <w:start w:val="1"/>
      <w:numFmt w:val="bullet"/>
      <w:lvlText w:val=""/>
      <w:lvlJc w:val="left"/>
      <w:pPr>
        <w:tabs>
          <w:tab w:val="num" w:pos="5040"/>
        </w:tabs>
        <w:ind w:left="5040" w:hanging="360"/>
      </w:pPr>
      <w:rPr>
        <w:rFonts w:ascii="Wingdings 2" w:hAnsi="Wingdings 2" w:hint="default"/>
      </w:rPr>
    </w:lvl>
    <w:lvl w:ilvl="7" w:tplc="E22E8852" w:tentative="1">
      <w:start w:val="1"/>
      <w:numFmt w:val="bullet"/>
      <w:lvlText w:val=""/>
      <w:lvlJc w:val="left"/>
      <w:pPr>
        <w:tabs>
          <w:tab w:val="num" w:pos="5760"/>
        </w:tabs>
        <w:ind w:left="5760" w:hanging="360"/>
      </w:pPr>
      <w:rPr>
        <w:rFonts w:ascii="Wingdings 2" w:hAnsi="Wingdings 2" w:hint="default"/>
      </w:rPr>
    </w:lvl>
    <w:lvl w:ilvl="8" w:tplc="327AE396" w:tentative="1">
      <w:start w:val="1"/>
      <w:numFmt w:val="bullet"/>
      <w:lvlText w:val=""/>
      <w:lvlJc w:val="left"/>
      <w:pPr>
        <w:tabs>
          <w:tab w:val="num" w:pos="6480"/>
        </w:tabs>
        <w:ind w:left="6480" w:hanging="360"/>
      </w:pPr>
      <w:rPr>
        <w:rFonts w:ascii="Wingdings 2" w:hAnsi="Wingdings 2" w:hint="default"/>
      </w:rPr>
    </w:lvl>
  </w:abstractNum>
  <w:abstractNum w:abstractNumId="7">
    <w:nsid w:val="27727316"/>
    <w:multiLevelType w:val="hybridMultilevel"/>
    <w:tmpl w:val="D7043790"/>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50A39"/>
    <w:multiLevelType w:val="hybridMultilevel"/>
    <w:tmpl w:val="EE4EBBEC"/>
    <w:lvl w:ilvl="0" w:tplc="DE609A4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4A15083"/>
    <w:multiLevelType w:val="hybridMultilevel"/>
    <w:tmpl w:val="131694C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97259"/>
    <w:multiLevelType w:val="hybridMultilevel"/>
    <w:tmpl w:val="56187356"/>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72B6F"/>
    <w:multiLevelType w:val="hybridMultilevel"/>
    <w:tmpl w:val="E5EC36D6"/>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273D1"/>
    <w:multiLevelType w:val="hybridMultilevel"/>
    <w:tmpl w:val="B128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77CC6"/>
    <w:multiLevelType w:val="hybridMultilevel"/>
    <w:tmpl w:val="1E4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56960"/>
    <w:multiLevelType w:val="hybridMultilevel"/>
    <w:tmpl w:val="B890E59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662B3"/>
    <w:multiLevelType w:val="hybridMultilevel"/>
    <w:tmpl w:val="7704532A"/>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27E8B"/>
    <w:multiLevelType w:val="hybridMultilevel"/>
    <w:tmpl w:val="3B9C3114"/>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B2407"/>
    <w:multiLevelType w:val="hybridMultilevel"/>
    <w:tmpl w:val="A170BCD6"/>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820FD"/>
    <w:multiLevelType w:val="hybridMultilevel"/>
    <w:tmpl w:val="83F244A6"/>
    <w:lvl w:ilvl="0" w:tplc="04090001">
      <w:start w:val="1"/>
      <w:numFmt w:val="bullet"/>
      <w:lvlText w:val=""/>
      <w:lvlJc w:val="left"/>
      <w:pPr>
        <w:ind w:left="720" w:hanging="360"/>
      </w:pPr>
      <w:rPr>
        <w:rFonts w:ascii="Symbol" w:hAnsi="Symbol" w:hint="default"/>
      </w:rPr>
    </w:lvl>
    <w:lvl w:ilvl="1" w:tplc="2412359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E18C2"/>
    <w:multiLevelType w:val="hybridMultilevel"/>
    <w:tmpl w:val="1A26893C"/>
    <w:lvl w:ilvl="0" w:tplc="4B42A074">
      <w:start w:val="1"/>
      <w:numFmt w:val="decimal"/>
      <w:lvlText w:val="%1)"/>
      <w:lvlJc w:val="left"/>
      <w:pPr>
        <w:ind w:left="644" w:hanging="360"/>
      </w:pPr>
      <w:rPr>
        <w:rFonts w:ascii="Times New Roman" w:hAnsi="Times New Roman" w:cs="Times New Roman" w:hint="default"/>
        <w:sz w:val="24"/>
        <w:szCs w:val="24"/>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0">
    <w:nsid w:val="628677DE"/>
    <w:multiLevelType w:val="hybridMultilevel"/>
    <w:tmpl w:val="B81CA54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457CC"/>
    <w:multiLevelType w:val="multilevel"/>
    <w:tmpl w:val="C6505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641013"/>
    <w:multiLevelType w:val="hybridMultilevel"/>
    <w:tmpl w:val="CEA6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EE4087"/>
    <w:multiLevelType w:val="hybridMultilevel"/>
    <w:tmpl w:val="688AE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534045"/>
    <w:multiLevelType w:val="hybridMultilevel"/>
    <w:tmpl w:val="5A0C18BC"/>
    <w:lvl w:ilvl="0" w:tplc="59ACAF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43582"/>
    <w:multiLevelType w:val="hybridMultilevel"/>
    <w:tmpl w:val="44D04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D1AB5"/>
    <w:multiLevelType w:val="hybridMultilevel"/>
    <w:tmpl w:val="25CECEBC"/>
    <w:lvl w:ilvl="0" w:tplc="3F8EAB88">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B717C"/>
    <w:multiLevelType w:val="hybridMultilevel"/>
    <w:tmpl w:val="D50E0692"/>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42CE1"/>
    <w:multiLevelType w:val="hybridMultilevel"/>
    <w:tmpl w:val="2DD8292C"/>
    <w:lvl w:ilvl="0" w:tplc="935CC708">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
  </w:num>
  <w:num w:numId="4">
    <w:abstractNumId w:val="26"/>
  </w:num>
  <w:num w:numId="5">
    <w:abstractNumId w:val="18"/>
  </w:num>
  <w:num w:numId="6">
    <w:abstractNumId w:val="4"/>
  </w:num>
  <w:num w:numId="7">
    <w:abstractNumId w:val="24"/>
  </w:num>
  <w:num w:numId="8">
    <w:abstractNumId w:val="10"/>
  </w:num>
  <w:num w:numId="9">
    <w:abstractNumId w:val="16"/>
  </w:num>
  <w:num w:numId="10">
    <w:abstractNumId w:val="17"/>
  </w:num>
  <w:num w:numId="11">
    <w:abstractNumId w:val="28"/>
  </w:num>
  <w:num w:numId="12">
    <w:abstractNumId w:val="2"/>
  </w:num>
  <w:num w:numId="13">
    <w:abstractNumId w:val="14"/>
  </w:num>
  <w:num w:numId="14">
    <w:abstractNumId w:val="11"/>
  </w:num>
  <w:num w:numId="15">
    <w:abstractNumId w:val="20"/>
  </w:num>
  <w:num w:numId="16">
    <w:abstractNumId w:val="15"/>
  </w:num>
  <w:num w:numId="17">
    <w:abstractNumId w:val="9"/>
  </w:num>
  <w:num w:numId="18">
    <w:abstractNumId w:val="5"/>
  </w:num>
  <w:num w:numId="19">
    <w:abstractNumId w:val="7"/>
  </w:num>
  <w:num w:numId="20">
    <w:abstractNumId w:val="22"/>
  </w:num>
  <w:num w:numId="21">
    <w:abstractNumId w:val="3"/>
  </w:num>
  <w:num w:numId="22">
    <w:abstractNumId w:val="12"/>
  </w:num>
  <w:num w:numId="23">
    <w:abstractNumId w:val="25"/>
  </w:num>
  <w:num w:numId="24">
    <w:abstractNumId w:val="21"/>
  </w:num>
  <w:num w:numId="25">
    <w:abstractNumId w:val="19"/>
  </w:num>
  <w:num w:numId="26">
    <w:abstractNumId w:val="13"/>
  </w:num>
  <w:num w:numId="27">
    <w:abstractNumId w:val="2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13"/>
    <w:rsid w:val="00050A1E"/>
    <w:rsid w:val="00063911"/>
    <w:rsid w:val="000938FF"/>
    <w:rsid w:val="000A46CA"/>
    <w:rsid w:val="001073BD"/>
    <w:rsid w:val="00180A10"/>
    <w:rsid w:val="00192B13"/>
    <w:rsid w:val="00202C46"/>
    <w:rsid w:val="00210F01"/>
    <w:rsid w:val="00240C61"/>
    <w:rsid w:val="0034035D"/>
    <w:rsid w:val="00384923"/>
    <w:rsid w:val="00392F17"/>
    <w:rsid w:val="00394292"/>
    <w:rsid w:val="004116D4"/>
    <w:rsid w:val="004A03D6"/>
    <w:rsid w:val="0057723D"/>
    <w:rsid w:val="00587D2F"/>
    <w:rsid w:val="005E637F"/>
    <w:rsid w:val="00606029"/>
    <w:rsid w:val="0061710E"/>
    <w:rsid w:val="00625A84"/>
    <w:rsid w:val="00667AB0"/>
    <w:rsid w:val="006E635A"/>
    <w:rsid w:val="00776174"/>
    <w:rsid w:val="007A7082"/>
    <w:rsid w:val="0083291F"/>
    <w:rsid w:val="0085252F"/>
    <w:rsid w:val="00884770"/>
    <w:rsid w:val="0096653B"/>
    <w:rsid w:val="009C27D7"/>
    <w:rsid w:val="00A27207"/>
    <w:rsid w:val="00B052D2"/>
    <w:rsid w:val="00B33312"/>
    <w:rsid w:val="00B91A75"/>
    <w:rsid w:val="00C748A9"/>
    <w:rsid w:val="00C92D59"/>
    <w:rsid w:val="00CA0361"/>
    <w:rsid w:val="00DB62E3"/>
    <w:rsid w:val="00DD1785"/>
    <w:rsid w:val="00E373A4"/>
    <w:rsid w:val="00E51CDE"/>
    <w:rsid w:val="00E51EFE"/>
    <w:rsid w:val="00EF351B"/>
    <w:rsid w:val="00F2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13"/>
    <w:pPr>
      <w:ind w:left="720"/>
      <w:contextualSpacing/>
    </w:pPr>
  </w:style>
  <w:style w:type="paragraph" w:styleId="NoSpacing">
    <w:name w:val="No Spacing"/>
    <w:link w:val="NoSpacingChar"/>
    <w:uiPriority w:val="1"/>
    <w:qFormat/>
    <w:rsid w:val="004116D4"/>
    <w:pPr>
      <w:spacing w:after="0" w:line="240" w:lineRule="auto"/>
    </w:pPr>
  </w:style>
  <w:style w:type="paragraph" w:styleId="BalloonText">
    <w:name w:val="Balloon Text"/>
    <w:basedOn w:val="Normal"/>
    <w:link w:val="BalloonTextChar"/>
    <w:uiPriority w:val="99"/>
    <w:semiHidden/>
    <w:unhideWhenUsed/>
    <w:rsid w:val="0041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D4"/>
    <w:rPr>
      <w:rFonts w:ascii="Tahoma" w:hAnsi="Tahoma" w:cs="Tahoma"/>
      <w:sz w:val="16"/>
      <w:szCs w:val="16"/>
    </w:rPr>
  </w:style>
  <w:style w:type="character" w:customStyle="1" w:styleId="Heading3Char">
    <w:name w:val="Heading 3 Char"/>
    <w:basedOn w:val="DefaultParagraphFont"/>
    <w:link w:val="Heading3"/>
    <w:uiPriority w:val="9"/>
    <w:semiHidden/>
    <w:rsid w:val="004116D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116D4"/>
    <w:pPr>
      <w:spacing w:after="0" w:line="240" w:lineRule="auto"/>
    </w:pPr>
    <w:rPr>
      <w:sz w:val="20"/>
      <w:szCs w:val="20"/>
    </w:rPr>
  </w:style>
  <w:style w:type="character" w:customStyle="1" w:styleId="FootnoteTextChar">
    <w:name w:val="Footnote Text Char"/>
    <w:basedOn w:val="DefaultParagraphFont"/>
    <w:link w:val="FootnoteText"/>
    <w:uiPriority w:val="99"/>
    <w:rsid w:val="004116D4"/>
    <w:rPr>
      <w:sz w:val="20"/>
      <w:szCs w:val="20"/>
    </w:rPr>
  </w:style>
  <w:style w:type="character" w:styleId="FootnoteReference">
    <w:name w:val="footnote reference"/>
    <w:basedOn w:val="DefaultParagraphFont"/>
    <w:uiPriority w:val="99"/>
    <w:unhideWhenUsed/>
    <w:rsid w:val="004116D4"/>
    <w:rPr>
      <w:vertAlign w:val="superscript"/>
    </w:rPr>
  </w:style>
  <w:style w:type="character" w:styleId="Hyperlink">
    <w:name w:val="Hyperlink"/>
    <w:basedOn w:val="DefaultParagraphFont"/>
    <w:uiPriority w:val="99"/>
    <w:unhideWhenUsed/>
    <w:rsid w:val="004116D4"/>
    <w:rPr>
      <w:color w:val="0000FF" w:themeColor="hyperlink"/>
      <w:u w:val="single"/>
    </w:rPr>
  </w:style>
  <w:style w:type="character" w:customStyle="1" w:styleId="apple-converted-space">
    <w:name w:val="apple-converted-space"/>
    <w:basedOn w:val="DefaultParagraphFont"/>
    <w:rsid w:val="004116D4"/>
  </w:style>
  <w:style w:type="paragraph" w:styleId="Header">
    <w:name w:val="header"/>
    <w:basedOn w:val="Normal"/>
    <w:link w:val="HeaderChar"/>
    <w:uiPriority w:val="99"/>
    <w:unhideWhenUsed/>
    <w:rsid w:val="0041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4"/>
  </w:style>
  <w:style w:type="paragraph" w:styleId="Footer">
    <w:name w:val="footer"/>
    <w:basedOn w:val="Normal"/>
    <w:link w:val="FooterChar"/>
    <w:uiPriority w:val="99"/>
    <w:unhideWhenUsed/>
    <w:rsid w:val="0041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4"/>
  </w:style>
  <w:style w:type="character" w:customStyle="1" w:styleId="reference-accessdate">
    <w:name w:val="reference-accessdate"/>
    <w:basedOn w:val="DefaultParagraphFont"/>
    <w:rsid w:val="004116D4"/>
  </w:style>
  <w:style w:type="table" w:styleId="TableGrid">
    <w:name w:val="Table Grid"/>
    <w:basedOn w:val="TableNormal"/>
    <w:uiPriority w:val="59"/>
    <w:rsid w:val="004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16D4"/>
    <w:rPr>
      <w:color w:val="808080"/>
    </w:rPr>
  </w:style>
  <w:style w:type="paragraph" w:styleId="Date">
    <w:name w:val="Date"/>
    <w:basedOn w:val="Normal"/>
    <w:next w:val="Normal"/>
    <w:link w:val="DateChar"/>
    <w:uiPriority w:val="99"/>
    <w:semiHidden/>
    <w:unhideWhenUsed/>
    <w:rsid w:val="004116D4"/>
  </w:style>
  <w:style w:type="character" w:customStyle="1" w:styleId="DateChar">
    <w:name w:val="Date Char"/>
    <w:basedOn w:val="DefaultParagraphFont"/>
    <w:link w:val="Date"/>
    <w:uiPriority w:val="99"/>
    <w:semiHidden/>
    <w:rsid w:val="004116D4"/>
  </w:style>
  <w:style w:type="character" w:styleId="Emphasis">
    <w:name w:val="Emphasis"/>
    <w:basedOn w:val="DefaultParagraphFont"/>
    <w:uiPriority w:val="20"/>
    <w:qFormat/>
    <w:rsid w:val="004116D4"/>
    <w:rPr>
      <w:i/>
      <w:iCs/>
    </w:rPr>
  </w:style>
  <w:style w:type="paragraph" w:styleId="Revision">
    <w:name w:val="Revision"/>
    <w:hidden/>
    <w:uiPriority w:val="99"/>
    <w:semiHidden/>
    <w:rsid w:val="004116D4"/>
    <w:pPr>
      <w:spacing w:after="0" w:line="240" w:lineRule="auto"/>
    </w:pPr>
  </w:style>
  <w:style w:type="character" w:customStyle="1" w:styleId="NoSpacingChar">
    <w:name w:val="No Spacing Char"/>
    <w:basedOn w:val="DefaultParagraphFont"/>
    <w:link w:val="NoSpacing"/>
    <w:uiPriority w:val="1"/>
    <w:rsid w:val="00210F01"/>
  </w:style>
  <w:style w:type="table" w:styleId="LightShading-Accent2">
    <w:name w:val="Light Shading Accent 2"/>
    <w:basedOn w:val="TableNormal"/>
    <w:uiPriority w:val="60"/>
    <w:rsid w:val="00202C46"/>
    <w:pPr>
      <w:spacing w:after="0" w:line="240" w:lineRule="auto"/>
    </w:pPr>
    <w:rPr>
      <w:rFonts w:ascii="Calibri" w:eastAsia="SimSun" w:hAnsi="Calibri" w:cs="Arial"/>
      <w:color w:val="943634" w:themeColor="accent2" w:themeShade="BF"/>
      <w:sz w:val="20"/>
      <w:szCs w:val="20"/>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13"/>
    <w:pPr>
      <w:ind w:left="720"/>
      <w:contextualSpacing/>
    </w:pPr>
  </w:style>
  <w:style w:type="paragraph" w:styleId="NoSpacing">
    <w:name w:val="No Spacing"/>
    <w:link w:val="NoSpacingChar"/>
    <w:uiPriority w:val="1"/>
    <w:qFormat/>
    <w:rsid w:val="004116D4"/>
    <w:pPr>
      <w:spacing w:after="0" w:line="240" w:lineRule="auto"/>
    </w:pPr>
  </w:style>
  <w:style w:type="paragraph" w:styleId="BalloonText">
    <w:name w:val="Balloon Text"/>
    <w:basedOn w:val="Normal"/>
    <w:link w:val="BalloonTextChar"/>
    <w:uiPriority w:val="99"/>
    <w:semiHidden/>
    <w:unhideWhenUsed/>
    <w:rsid w:val="0041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D4"/>
    <w:rPr>
      <w:rFonts w:ascii="Tahoma" w:hAnsi="Tahoma" w:cs="Tahoma"/>
      <w:sz w:val="16"/>
      <w:szCs w:val="16"/>
    </w:rPr>
  </w:style>
  <w:style w:type="character" w:customStyle="1" w:styleId="Heading3Char">
    <w:name w:val="Heading 3 Char"/>
    <w:basedOn w:val="DefaultParagraphFont"/>
    <w:link w:val="Heading3"/>
    <w:uiPriority w:val="9"/>
    <w:semiHidden/>
    <w:rsid w:val="004116D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116D4"/>
    <w:pPr>
      <w:spacing w:after="0" w:line="240" w:lineRule="auto"/>
    </w:pPr>
    <w:rPr>
      <w:sz w:val="20"/>
      <w:szCs w:val="20"/>
    </w:rPr>
  </w:style>
  <w:style w:type="character" w:customStyle="1" w:styleId="FootnoteTextChar">
    <w:name w:val="Footnote Text Char"/>
    <w:basedOn w:val="DefaultParagraphFont"/>
    <w:link w:val="FootnoteText"/>
    <w:uiPriority w:val="99"/>
    <w:rsid w:val="004116D4"/>
    <w:rPr>
      <w:sz w:val="20"/>
      <w:szCs w:val="20"/>
    </w:rPr>
  </w:style>
  <w:style w:type="character" w:styleId="FootnoteReference">
    <w:name w:val="footnote reference"/>
    <w:basedOn w:val="DefaultParagraphFont"/>
    <w:uiPriority w:val="99"/>
    <w:unhideWhenUsed/>
    <w:rsid w:val="004116D4"/>
    <w:rPr>
      <w:vertAlign w:val="superscript"/>
    </w:rPr>
  </w:style>
  <w:style w:type="character" w:styleId="Hyperlink">
    <w:name w:val="Hyperlink"/>
    <w:basedOn w:val="DefaultParagraphFont"/>
    <w:uiPriority w:val="99"/>
    <w:unhideWhenUsed/>
    <w:rsid w:val="004116D4"/>
    <w:rPr>
      <w:color w:val="0000FF" w:themeColor="hyperlink"/>
      <w:u w:val="single"/>
    </w:rPr>
  </w:style>
  <w:style w:type="character" w:customStyle="1" w:styleId="apple-converted-space">
    <w:name w:val="apple-converted-space"/>
    <w:basedOn w:val="DefaultParagraphFont"/>
    <w:rsid w:val="004116D4"/>
  </w:style>
  <w:style w:type="paragraph" w:styleId="Header">
    <w:name w:val="header"/>
    <w:basedOn w:val="Normal"/>
    <w:link w:val="HeaderChar"/>
    <w:uiPriority w:val="99"/>
    <w:unhideWhenUsed/>
    <w:rsid w:val="0041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4"/>
  </w:style>
  <w:style w:type="paragraph" w:styleId="Footer">
    <w:name w:val="footer"/>
    <w:basedOn w:val="Normal"/>
    <w:link w:val="FooterChar"/>
    <w:uiPriority w:val="99"/>
    <w:unhideWhenUsed/>
    <w:rsid w:val="0041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4"/>
  </w:style>
  <w:style w:type="character" w:customStyle="1" w:styleId="reference-accessdate">
    <w:name w:val="reference-accessdate"/>
    <w:basedOn w:val="DefaultParagraphFont"/>
    <w:rsid w:val="004116D4"/>
  </w:style>
  <w:style w:type="table" w:styleId="TableGrid">
    <w:name w:val="Table Grid"/>
    <w:basedOn w:val="TableNormal"/>
    <w:uiPriority w:val="59"/>
    <w:rsid w:val="004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16D4"/>
    <w:rPr>
      <w:color w:val="808080"/>
    </w:rPr>
  </w:style>
  <w:style w:type="paragraph" w:styleId="Date">
    <w:name w:val="Date"/>
    <w:basedOn w:val="Normal"/>
    <w:next w:val="Normal"/>
    <w:link w:val="DateChar"/>
    <w:uiPriority w:val="99"/>
    <w:semiHidden/>
    <w:unhideWhenUsed/>
    <w:rsid w:val="004116D4"/>
  </w:style>
  <w:style w:type="character" w:customStyle="1" w:styleId="DateChar">
    <w:name w:val="Date Char"/>
    <w:basedOn w:val="DefaultParagraphFont"/>
    <w:link w:val="Date"/>
    <w:uiPriority w:val="99"/>
    <w:semiHidden/>
    <w:rsid w:val="004116D4"/>
  </w:style>
  <w:style w:type="character" w:styleId="Emphasis">
    <w:name w:val="Emphasis"/>
    <w:basedOn w:val="DefaultParagraphFont"/>
    <w:uiPriority w:val="20"/>
    <w:qFormat/>
    <w:rsid w:val="004116D4"/>
    <w:rPr>
      <w:i/>
      <w:iCs/>
    </w:rPr>
  </w:style>
  <w:style w:type="paragraph" w:styleId="Revision">
    <w:name w:val="Revision"/>
    <w:hidden/>
    <w:uiPriority w:val="99"/>
    <w:semiHidden/>
    <w:rsid w:val="004116D4"/>
    <w:pPr>
      <w:spacing w:after="0" w:line="240" w:lineRule="auto"/>
    </w:pPr>
  </w:style>
  <w:style w:type="character" w:customStyle="1" w:styleId="NoSpacingChar">
    <w:name w:val="No Spacing Char"/>
    <w:basedOn w:val="DefaultParagraphFont"/>
    <w:link w:val="NoSpacing"/>
    <w:uiPriority w:val="1"/>
    <w:rsid w:val="00210F01"/>
  </w:style>
  <w:style w:type="table" w:styleId="LightShading-Accent2">
    <w:name w:val="Light Shading Accent 2"/>
    <w:basedOn w:val="TableNormal"/>
    <w:uiPriority w:val="60"/>
    <w:rsid w:val="00202C46"/>
    <w:pPr>
      <w:spacing w:after="0" w:line="240" w:lineRule="auto"/>
    </w:pPr>
    <w:rPr>
      <w:rFonts w:ascii="Calibri" w:eastAsia="SimSun" w:hAnsi="Calibri" w:cs="Arial"/>
      <w:color w:val="943634" w:themeColor="accent2" w:themeShade="BF"/>
      <w:sz w:val="20"/>
      <w:szCs w:val="20"/>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hweini@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UNIVERSITI PUTRA MALAYSIA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PCX-25</dc:creator>
  <cp:lastModifiedBy> </cp:lastModifiedBy>
  <cp:revision>14</cp:revision>
  <cp:lastPrinted>2015-10-29T07:00:00Z</cp:lastPrinted>
  <dcterms:created xsi:type="dcterms:W3CDTF">2015-04-13T00:04:00Z</dcterms:created>
  <dcterms:modified xsi:type="dcterms:W3CDTF">2015-10-29T07:02:00Z</dcterms:modified>
</cp:coreProperties>
</file>