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17" w:rsidRDefault="001E0017" w:rsidP="001E0017">
      <w:pPr>
        <w:spacing w:after="0" w:line="240" w:lineRule="auto"/>
        <w:rPr>
          <w:noProof/>
          <w:sz w:val="24"/>
          <w:szCs w:val="24"/>
        </w:rPr>
      </w:pPr>
    </w:p>
    <w:p w:rsidR="001E0017" w:rsidRPr="00335DFF" w:rsidRDefault="001E0017" w:rsidP="001E0017">
      <w:pPr>
        <w:spacing w:after="0" w:line="240" w:lineRule="auto"/>
        <w:jc w:val="center"/>
        <w:rPr>
          <w:rFonts w:ascii="Bodoni MT Black" w:hAnsi="Bodoni MT Black"/>
          <w:bCs/>
          <w:color w:val="9F3A29"/>
          <w:sz w:val="32"/>
          <w:szCs w:val="32"/>
          <w:lang w:val="en-GB"/>
        </w:rPr>
      </w:pPr>
      <w:r w:rsidRPr="00335DFF">
        <w:rPr>
          <w:rFonts w:ascii="Bodoni MT Black" w:hAnsi="Bodoni MT Black"/>
          <w:bCs/>
          <w:color w:val="9F3A29"/>
          <w:sz w:val="32"/>
          <w:szCs w:val="32"/>
          <w:lang w:val="en-GB"/>
        </w:rPr>
        <w:t>Financial Economic Rese</w:t>
      </w:r>
      <w:r>
        <w:rPr>
          <w:rFonts w:ascii="Bodoni MT Black" w:hAnsi="Bodoni MT Black"/>
          <w:bCs/>
          <w:color w:val="9F3A29"/>
          <w:sz w:val="32"/>
          <w:szCs w:val="32"/>
          <w:lang w:val="en-GB"/>
        </w:rPr>
        <w:t>arch Centre Working P</w:t>
      </w:r>
      <w:r w:rsidRPr="00335DFF">
        <w:rPr>
          <w:rFonts w:ascii="Bodoni MT Black" w:hAnsi="Bodoni MT Black"/>
          <w:bCs/>
          <w:color w:val="9F3A29"/>
          <w:sz w:val="32"/>
          <w:szCs w:val="32"/>
          <w:lang w:val="en-GB"/>
        </w:rPr>
        <w:t>aper</w:t>
      </w:r>
      <w:r>
        <w:rPr>
          <w:rFonts w:ascii="Bodoni MT Black" w:hAnsi="Bodoni MT Black"/>
          <w:bCs/>
          <w:color w:val="9F3A29"/>
          <w:sz w:val="32"/>
          <w:szCs w:val="32"/>
          <w:lang w:val="en-GB"/>
        </w:rPr>
        <w:t xml:space="preserve"> Series</w:t>
      </w:r>
    </w:p>
    <w:p w:rsidR="001E0017" w:rsidRPr="00335DFF" w:rsidRDefault="001E0017" w:rsidP="001E0017">
      <w:pPr>
        <w:spacing w:after="0" w:line="240" w:lineRule="auto"/>
        <w:jc w:val="center"/>
        <w:rPr>
          <w:rFonts w:ascii="Bodoni MT Black" w:hAnsi="Bodoni MT Black"/>
          <w:bCs/>
          <w:color w:val="000000"/>
          <w:sz w:val="28"/>
          <w:szCs w:val="28"/>
          <w:lang w:val="en-GB"/>
        </w:rPr>
      </w:pPr>
    </w:p>
    <w:p w:rsidR="00D177A9" w:rsidRDefault="00D177A9" w:rsidP="00D177A9">
      <w:pPr>
        <w:jc w:val="center"/>
        <w:rPr>
          <w:rFonts w:ascii="Times New Roman" w:hAnsi="Times New Roman"/>
          <w:color w:val="000000"/>
          <w:sz w:val="24"/>
          <w:szCs w:val="24"/>
        </w:rPr>
      </w:pPr>
      <w:r>
        <w:rPr>
          <w:noProof/>
          <w:sz w:val="24"/>
          <w:szCs w:val="24"/>
        </w:rPr>
        <w:drawing>
          <wp:inline distT="0" distB="0" distL="0" distR="0">
            <wp:extent cx="3590925" cy="1304925"/>
            <wp:effectExtent l="0" t="0" r="9525" b="0"/>
            <wp:docPr id="4" name="Picture 4" descr="Description: Description: Description: C:\Users\rafiqa87\Desktop\u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C:\Users\rafiqa87\Desktop\up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1304925"/>
                    </a:xfrm>
                    <a:prstGeom prst="rect">
                      <a:avLst/>
                    </a:prstGeom>
                    <a:noFill/>
                    <a:ln>
                      <a:noFill/>
                    </a:ln>
                  </pic:spPr>
                </pic:pic>
              </a:graphicData>
            </a:graphic>
          </wp:inline>
        </w:drawing>
      </w:r>
      <w:r>
        <w:rPr>
          <w:rFonts w:ascii="Times New Roman" w:hAnsi="Times New Roman"/>
          <w:b/>
          <w:noProof/>
          <w:sz w:val="24"/>
          <w:szCs w:val="24"/>
        </w:rPr>
        <w:drawing>
          <wp:inline distT="0" distB="0" distL="0" distR="0">
            <wp:extent cx="1238250" cy="1190625"/>
            <wp:effectExtent l="0" t="0" r="0" b="9525"/>
            <wp:docPr id="3" name="Picture 3" descr="Description: Description: Description: C:\Users\rafiqa87\Desktop\AACS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rafiqa87\Desktop\AACSB.j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1E0017" w:rsidRDefault="001E0017" w:rsidP="001E0017">
      <w:pPr>
        <w:jc w:val="center"/>
        <w:rPr>
          <w:rFonts w:ascii="Times New Roman" w:hAnsi="Times New Roman"/>
          <w:b/>
          <w:sz w:val="28"/>
          <w:szCs w:val="28"/>
        </w:rPr>
      </w:pPr>
    </w:p>
    <w:p w:rsidR="001E0017" w:rsidRPr="001E0017" w:rsidRDefault="001E0017" w:rsidP="001E0017">
      <w:pPr>
        <w:spacing w:after="0" w:line="240" w:lineRule="auto"/>
        <w:jc w:val="center"/>
        <w:rPr>
          <w:rFonts w:asciiTheme="majorBidi" w:hAnsiTheme="majorBidi" w:cstheme="majorBidi"/>
          <w:b/>
          <w:bCs/>
          <w:sz w:val="28"/>
          <w:szCs w:val="28"/>
        </w:rPr>
      </w:pPr>
      <w:r w:rsidRPr="001E0017">
        <w:rPr>
          <w:rFonts w:asciiTheme="majorBidi" w:hAnsiTheme="majorBidi" w:cstheme="majorBidi"/>
          <w:b/>
          <w:bCs/>
          <w:sz w:val="28"/>
          <w:szCs w:val="28"/>
        </w:rPr>
        <w:t>Identifying Factors Correlated with Corporate Cash Holdings in Korea and Malaysia</w:t>
      </w:r>
    </w:p>
    <w:p w:rsidR="001E0017" w:rsidRPr="001E0017" w:rsidRDefault="001E0017" w:rsidP="001E0017">
      <w:pPr>
        <w:jc w:val="center"/>
        <w:rPr>
          <w:rFonts w:ascii="Times New Roman" w:hAnsi="Times New Roman"/>
          <w:b/>
          <w:sz w:val="28"/>
          <w:szCs w:val="28"/>
        </w:rPr>
      </w:pPr>
    </w:p>
    <w:p w:rsidR="001E0017" w:rsidRDefault="001E0017" w:rsidP="001E0017"/>
    <w:p w:rsidR="001E0017" w:rsidRDefault="001E0017" w:rsidP="001E001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We Ni</w:t>
      </w:r>
    </w:p>
    <w:p w:rsidR="001E0017" w:rsidRDefault="001E0017" w:rsidP="001E0017">
      <w:pPr>
        <w:spacing w:after="0" w:line="240" w:lineRule="auto"/>
        <w:jc w:val="center"/>
        <w:rPr>
          <w:rFonts w:ascii="Times New Roman" w:hAnsi="Times New Roman" w:cs="Times New Roman"/>
          <w:sz w:val="24"/>
          <w:szCs w:val="24"/>
        </w:rPr>
      </w:pPr>
    </w:p>
    <w:p w:rsidR="001E0017" w:rsidRDefault="001E0017" w:rsidP="001E001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Annuar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Nassir</w:t>
      </w:r>
    </w:p>
    <w:p w:rsidR="001E0017" w:rsidRDefault="001E0017" w:rsidP="001E0017">
      <w:pPr>
        <w:spacing w:after="0" w:line="240" w:lineRule="auto"/>
        <w:jc w:val="center"/>
        <w:rPr>
          <w:rFonts w:ascii="Times New Roman" w:hAnsi="Times New Roman" w:cs="Times New Roman"/>
          <w:sz w:val="24"/>
          <w:szCs w:val="24"/>
        </w:rPr>
      </w:pPr>
    </w:p>
    <w:p w:rsidR="001E0017" w:rsidRDefault="001E0017" w:rsidP="001E0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Cheng Fan </w:t>
      </w:r>
      <w:proofErr w:type="spellStart"/>
      <w:r>
        <w:rPr>
          <w:rFonts w:ascii="Times New Roman" w:hAnsi="Times New Roman" w:cs="Times New Roman"/>
          <w:sz w:val="24"/>
          <w:szCs w:val="24"/>
        </w:rPr>
        <w:t>Fah</w:t>
      </w:r>
      <w:proofErr w:type="spellEnd"/>
    </w:p>
    <w:p w:rsidR="001E0017" w:rsidRDefault="001E0017" w:rsidP="001E0017">
      <w:pPr>
        <w:spacing w:after="0" w:line="240" w:lineRule="auto"/>
        <w:ind w:left="3600"/>
        <w:rPr>
          <w:rFonts w:ascii="Times New Roman" w:eastAsia="Times New Roman" w:hAnsi="Times New Roman"/>
          <w:sz w:val="24"/>
          <w:szCs w:val="24"/>
          <w:lang w:val="en-GB"/>
        </w:rPr>
      </w:pPr>
    </w:p>
    <w:p w:rsidR="001E0017" w:rsidRDefault="001E0017" w:rsidP="001E0017">
      <w:pPr>
        <w:spacing w:after="0" w:line="240" w:lineRule="auto"/>
        <w:jc w:val="center"/>
        <w:rPr>
          <w:rFonts w:ascii="Times New Roman" w:eastAsia="Times New Roman" w:hAnsi="Times New Roman"/>
          <w:sz w:val="24"/>
          <w:szCs w:val="24"/>
          <w:lang w:val="en-GB"/>
        </w:rPr>
      </w:pPr>
    </w:p>
    <w:p w:rsidR="001E0017" w:rsidRDefault="001E0017" w:rsidP="001E0017">
      <w:pPr>
        <w:spacing w:after="0" w:line="240" w:lineRule="auto"/>
        <w:ind w:left="3600"/>
        <w:jc w:val="center"/>
        <w:rPr>
          <w:rFonts w:ascii="Times New Roman" w:eastAsia="Times New Roman" w:hAnsi="Times New Roman"/>
          <w:sz w:val="24"/>
          <w:szCs w:val="24"/>
          <w:lang w:val="en-GB"/>
        </w:rPr>
      </w:pPr>
    </w:p>
    <w:p w:rsidR="001E0017" w:rsidRDefault="001E0017" w:rsidP="001E0017">
      <w:pPr>
        <w:spacing w:after="0" w:line="240" w:lineRule="auto"/>
        <w:ind w:left="3600"/>
        <w:rPr>
          <w:rFonts w:ascii="Times New Roman" w:eastAsia="Times New Roman" w:hAnsi="Times New Roman"/>
          <w:sz w:val="24"/>
          <w:szCs w:val="24"/>
          <w:lang w:val="en-GB"/>
        </w:rPr>
      </w:pPr>
    </w:p>
    <w:p w:rsidR="001E0017" w:rsidRDefault="001E0017" w:rsidP="001E0017">
      <w:pPr>
        <w:spacing w:after="0" w:line="240" w:lineRule="auto"/>
        <w:ind w:left="360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Working Paper 04</w:t>
      </w:r>
    </w:p>
    <w:p w:rsidR="001E0017" w:rsidRDefault="001E0017" w:rsidP="001E0017">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r w:rsidRPr="007F7329">
        <w:rPr>
          <w:rFonts w:ascii="Times New Roman" w:eastAsia="Times New Roman" w:hAnsi="Times New Roman"/>
          <w:sz w:val="24"/>
          <w:szCs w:val="24"/>
          <w:lang w:val="en-GB"/>
        </w:rPr>
        <w:t xml:space="preserve"> </w:t>
      </w:r>
      <w:r w:rsidR="007D21DC" w:rsidRPr="007D21DC">
        <w:rPr>
          <w:rFonts w:ascii="Times New Roman" w:eastAsia="Times New Roman" w:hAnsi="Times New Roman"/>
          <w:sz w:val="24"/>
          <w:szCs w:val="24"/>
          <w:lang w:val="en-GB"/>
        </w:rPr>
        <w:t>http://research.upm.edu.my/FERC</w:t>
      </w:r>
      <w:bookmarkStart w:id="0" w:name="_GoBack"/>
      <w:bookmarkEnd w:id="0"/>
    </w:p>
    <w:p w:rsidR="001E0017" w:rsidRDefault="001E0017" w:rsidP="001E0017">
      <w:pPr>
        <w:spacing w:after="0" w:line="240" w:lineRule="auto"/>
        <w:jc w:val="center"/>
        <w:rPr>
          <w:rFonts w:ascii="Bodoni MT Black" w:hAnsi="Bodoni MT Black"/>
          <w:b/>
          <w:bCs/>
          <w:sz w:val="36"/>
          <w:szCs w:val="36"/>
          <w:lang w:val="en-GB"/>
        </w:rPr>
      </w:pPr>
    </w:p>
    <w:p w:rsidR="001E0017" w:rsidRDefault="001E0017" w:rsidP="001E0017">
      <w:pPr>
        <w:spacing w:after="0" w:line="240" w:lineRule="auto"/>
        <w:jc w:val="center"/>
        <w:rPr>
          <w:rFonts w:ascii="Bodoni MT Black" w:hAnsi="Bodoni MT Black"/>
          <w:bCs/>
          <w:sz w:val="24"/>
          <w:szCs w:val="24"/>
          <w:lang w:val="en-GB"/>
        </w:rPr>
      </w:pPr>
    </w:p>
    <w:p w:rsidR="001E0017" w:rsidRPr="001073BD" w:rsidRDefault="001E0017" w:rsidP="001E0017">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Faculty of Economics and Management</w:t>
      </w:r>
    </w:p>
    <w:p w:rsidR="001E0017" w:rsidRDefault="001E0017" w:rsidP="001E0017">
      <w:pPr>
        <w:spacing w:after="0" w:line="240" w:lineRule="auto"/>
        <w:jc w:val="center"/>
        <w:rPr>
          <w:rFonts w:ascii="Times New Roman" w:eastAsia="Times New Roman" w:hAnsi="Times New Roman"/>
          <w:sz w:val="24"/>
          <w:szCs w:val="24"/>
          <w:lang w:val="en-AU"/>
        </w:rPr>
      </w:pPr>
      <w:r w:rsidRPr="001073BD">
        <w:rPr>
          <w:rFonts w:ascii="Times New Roman" w:eastAsia="Times New Roman" w:hAnsi="Times New Roman"/>
          <w:sz w:val="24"/>
          <w:szCs w:val="24"/>
          <w:lang w:val="en-AU"/>
        </w:rPr>
        <w:t>University Putra Malaysia</w:t>
      </w:r>
    </w:p>
    <w:p w:rsidR="001E0017" w:rsidRDefault="001E0017" w:rsidP="001E0017">
      <w:pPr>
        <w:spacing w:after="0" w:line="240" w:lineRule="auto"/>
        <w:jc w:val="center"/>
        <w:rPr>
          <w:rFonts w:ascii="Times New Roman" w:eastAsia="Times New Roman" w:hAnsi="Times New Roman"/>
          <w:sz w:val="24"/>
          <w:szCs w:val="24"/>
          <w:lang w:val="en-AU"/>
        </w:rPr>
      </w:pPr>
      <w:r>
        <w:rPr>
          <w:rFonts w:ascii="Times New Roman" w:eastAsia="Times New Roman" w:hAnsi="Times New Roman"/>
          <w:sz w:val="24"/>
          <w:szCs w:val="24"/>
          <w:lang w:val="en-AU"/>
        </w:rPr>
        <w:t xml:space="preserve">43400 UPM </w:t>
      </w:r>
      <w:proofErr w:type="spellStart"/>
      <w:r>
        <w:rPr>
          <w:rFonts w:ascii="Times New Roman" w:eastAsia="Times New Roman" w:hAnsi="Times New Roman"/>
          <w:sz w:val="24"/>
          <w:szCs w:val="24"/>
          <w:lang w:val="en-AU"/>
        </w:rPr>
        <w:t>Serdang</w:t>
      </w:r>
      <w:proofErr w:type="spellEnd"/>
      <w:r>
        <w:rPr>
          <w:rFonts w:ascii="Times New Roman" w:eastAsia="Times New Roman" w:hAnsi="Times New Roman"/>
          <w:sz w:val="24"/>
          <w:szCs w:val="24"/>
          <w:lang w:val="en-AU"/>
        </w:rPr>
        <w:t>, Selangor</w:t>
      </w:r>
    </w:p>
    <w:p w:rsidR="001E0017" w:rsidRDefault="001E0017" w:rsidP="001E0017">
      <w:pPr>
        <w:spacing w:after="0" w:line="240" w:lineRule="auto"/>
        <w:jc w:val="center"/>
        <w:rPr>
          <w:rFonts w:ascii="Times New Roman" w:eastAsia="Times New Roman" w:hAnsi="Times New Roman"/>
          <w:sz w:val="24"/>
          <w:szCs w:val="24"/>
          <w:lang w:val="en-AU"/>
        </w:rPr>
      </w:pPr>
      <w:r>
        <w:rPr>
          <w:rFonts w:ascii="Times New Roman" w:eastAsia="Times New Roman" w:hAnsi="Times New Roman"/>
          <w:sz w:val="24"/>
          <w:szCs w:val="24"/>
          <w:lang w:val="en-AU"/>
        </w:rPr>
        <w:t>Malaysia</w:t>
      </w:r>
    </w:p>
    <w:p w:rsidR="001E0017" w:rsidRPr="007F7329" w:rsidRDefault="001E0017" w:rsidP="001E0017">
      <w:pPr>
        <w:spacing w:after="0" w:line="240" w:lineRule="auto"/>
        <w:ind w:left="3600"/>
        <w:jc w:val="center"/>
        <w:rPr>
          <w:rFonts w:ascii="Times New Roman" w:eastAsia="Times New Roman" w:hAnsi="Times New Roman"/>
          <w:sz w:val="24"/>
          <w:szCs w:val="24"/>
          <w:lang w:val="en-AU"/>
        </w:rPr>
      </w:pPr>
    </w:p>
    <w:p w:rsidR="001E0017" w:rsidRPr="001E0017" w:rsidRDefault="001E0017" w:rsidP="001E0017">
      <w:pPr>
        <w:jc w:val="center"/>
        <w:rPr>
          <w:rFonts w:ascii="Times New Roman" w:hAnsi="Times New Roman"/>
          <w:sz w:val="24"/>
          <w:szCs w:val="24"/>
        </w:rPr>
      </w:pPr>
      <w:r>
        <w:rPr>
          <w:rFonts w:ascii="Times New Roman" w:hAnsi="Times New Roman"/>
          <w:sz w:val="24"/>
          <w:szCs w:val="24"/>
        </w:rPr>
        <w:t>June</w:t>
      </w:r>
      <w:r w:rsidRPr="007F7329">
        <w:rPr>
          <w:rFonts w:ascii="Times New Roman" w:hAnsi="Times New Roman"/>
          <w:sz w:val="24"/>
          <w:szCs w:val="24"/>
        </w:rPr>
        <w:t xml:space="preserve"> 2015</w:t>
      </w:r>
    </w:p>
    <w:p w:rsidR="001E0017" w:rsidRDefault="001E0017" w:rsidP="001E0017">
      <w:pPr>
        <w:spacing w:after="0" w:line="240" w:lineRule="auto"/>
        <w:rPr>
          <w:rFonts w:asciiTheme="majorBidi" w:hAnsiTheme="majorBidi" w:cstheme="majorBidi"/>
          <w:b/>
          <w:bCs/>
          <w:sz w:val="24"/>
          <w:szCs w:val="24"/>
        </w:rPr>
      </w:pPr>
    </w:p>
    <w:p w:rsidR="001E0017" w:rsidRDefault="001E0017" w:rsidP="001E0017">
      <w:pPr>
        <w:spacing w:after="0" w:line="240" w:lineRule="auto"/>
        <w:rPr>
          <w:rFonts w:asciiTheme="majorBidi" w:hAnsiTheme="majorBidi" w:cstheme="majorBidi"/>
          <w:b/>
          <w:bCs/>
          <w:sz w:val="24"/>
          <w:szCs w:val="24"/>
        </w:rPr>
      </w:pPr>
    </w:p>
    <w:p w:rsidR="001E0017" w:rsidRDefault="001E0017" w:rsidP="001E0017">
      <w:pPr>
        <w:spacing w:after="0" w:line="240" w:lineRule="auto"/>
        <w:rPr>
          <w:rFonts w:asciiTheme="majorBidi" w:hAnsiTheme="majorBidi" w:cstheme="majorBidi"/>
          <w:b/>
          <w:bCs/>
          <w:sz w:val="24"/>
          <w:szCs w:val="24"/>
        </w:rPr>
      </w:pPr>
    </w:p>
    <w:p w:rsidR="001E0017" w:rsidRDefault="001E0017" w:rsidP="001E0017">
      <w:pPr>
        <w:spacing w:after="0" w:line="240" w:lineRule="auto"/>
        <w:rPr>
          <w:rFonts w:asciiTheme="majorBidi" w:hAnsiTheme="majorBidi" w:cstheme="majorBidi"/>
          <w:b/>
          <w:bCs/>
          <w:sz w:val="24"/>
          <w:szCs w:val="24"/>
        </w:rPr>
      </w:pPr>
    </w:p>
    <w:p w:rsidR="001E0017" w:rsidRDefault="001E0017" w:rsidP="001E0017">
      <w:pPr>
        <w:spacing w:after="0" w:line="240" w:lineRule="auto"/>
        <w:rPr>
          <w:rFonts w:asciiTheme="majorBidi" w:hAnsiTheme="majorBidi" w:cstheme="majorBidi"/>
          <w:b/>
          <w:bCs/>
          <w:sz w:val="24"/>
          <w:szCs w:val="24"/>
        </w:rPr>
      </w:pPr>
    </w:p>
    <w:p w:rsidR="00192B13" w:rsidRPr="004D4E4C" w:rsidRDefault="001E0017" w:rsidP="003D6DD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Identifying</w:t>
      </w:r>
      <w:r w:rsidR="00B96D54" w:rsidRPr="004D4E4C">
        <w:rPr>
          <w:rFonts w:asciiTheme="majorBidi" w:hAnsiTheme="majorBidi" w:cstheme="majorBidi"/>
          <w:b/>
          <w:bCs/>
          <w:sz w:val="24"/>
          <w:szCs w:val="24"/>
        </w:rPr>
        <w:t xml:space="preserve"> Factor</w:t>
      </w:r>
      <w:r>
        <w:rPr>
          <w:rFonts w:asciiTheme="majorBidi" w:hAnsiTheme="majorBidi" w:cstheme="majorBidi"/>
          <w:b/>
          <w:bCs/>
          <w:sz w:val="24"/>
          <w:szCs w:val="24"/>
        </w:rPr>
        <w:t>s</w:t>
      </w:r>
      <w:r w:rsidR="00B96D54" w:rsidRPr="004D4E4C">
        <w:rPr>
          <w:rFonts w:asciiTheme="majorBidi" w:hAnsiTheme="majorBidi" w:cstheme="majorBidi"/>
          <w:b/>
          <w:bCs/>
          <w:sz w:val="24"/>
          <w:szCs w:val="24"/>
        </w:rPr>
        <w:t xml:space="preserve"> Correlated with C</w:t>
      </w:r>
      <w:r w:rsidR="000E0023">
        <w:rPr>
          <w:rFonts w:asciiTheme="majorBidi" w:hAnsiTheme="majorBidi" w:cstheme="majorBidi"/>
          <w:b/>
          <w:bCs/>
          <w:sz w:val="24"/>
          <w:szCs w:val="24"/>
        </w:rPr>
        <w:t xml:space="preserve">orporate Cash Holdings in </w:t>
      </w:r>
      <w:r w:rsidR="00B96D54" w:rsidRPr="004D4E4C">
        <w:rPr>
          <w:rFonts w:asciiTheme="majorBidi" w:hAnsiTheme="majorBidi" w:cstheme="majorBidi"/>
          <w:b/>
          <w:bCs/>
          <w:sz w:val="24"/>
          <w:szCs w:val="24"/>
        </w:rPr>
        <w:t>Korea and Malaysia</w:t>
      </w:r>
    </w:p>
    <w:p w:rsidR="00B96D54" w:rsidRDefault="00B96D54" w:rsidP="003D6DDA">
      <w:pPr>
        <w:spacing w:after="0" w:line="240" w:lineRule="auto"/>
        <w:jc w:val="center"/>
        <w:rPr>
          <w:rFonts w:ascii="Times New Roman" w:hAnsi="Times New Roman" w:cs="Times New Roman"/>
          <w:sz w:val="24"/>
          <w:szCs w:val="24"/>
        </w:rPr>
      </w:pPr>
    </w:p>
    <w:p w:rsidR="004D4E4C" w:rsidRDefault="004D4E4C" w:rsidP="003D6DDA">
      <w:pPr>
        <w:spacing w:after="0" w:line="240" w:lineRule="auto"/>
        <w:jc w:val="center"/>
        <w:rPr>
          <w:rFonts w:ascii="Times New Roman" w:hAnsi="Times New Roman" w:cs="Times New Roman"/>
          <w:sz w:val="24"/>
          <w:szCs w:val="24"/>
        </w:rPr>
      </w:pPr>
    </w:p>
    <w:p w:rsidR="004D4E4C" w:rsidRDefault="004D4E4C" w:rsidP="003D6DDA">
      <w:pPr>
        <w:spacing w:after="0" w:line="240" w:lineRule="auto"/>
        <w:jc w:val="center"/>
        <w:rPr>
          <w:rFonts w:ascii="Times New Roman" w:hAnsi="Times New Roman" w:cs="Times New Roman"/>
          <w:sz w:val="24"/>
          <w:szCs w:val="24"/>
        </w:rPr>
      </w:pPr>
    </w:p>
    <w:p w:rsidR="004D4E4C" w:rsidRDefault="004D4E4C" w:rsidP="003D6DDA">
      <w:pPr>
        <w:spacing w:after="0" w:line="240" w:lineRule="auto"/>
        <w:jc w:val="center"/>
        <w:rPr>
          <w:rFonts w:ascii="Times New Roman" w:hAnsi="Times New Roman" w:cs="Times New Roman"/>
          <w:sz w:val="24"/>
          <w:szCs w:val="24"/>
        </w:rPr>
      </w:pPr>
    </w:p>
    <w:p w:rsidR="00180A10" w:rsidRDefault="00180A10" w:rsidP="003D6DDA">
      <w:pPr>
        <w:spacing w:after="0" w:line="240" w:lineRule="auto"/>
        <w:jc w:val="center"/>
        <w:rPr>
          <w:rFonts w:ascii="Times New Roman" w:hAnsi="Times New Roman" w:cs="Times New Roman"/>
          <w:sz w:val="24"/>
          <w:szCs w:val="24"/>
        </w:rPr>
      </w:pPr>
      <w:r w:rsidRPr="003406EC">
        <w:rPr>
          <w:rFonts w:ascii="Times New Roman" w:hAnsi="Times New Roman" w:cs="Times New Roman"/>
          <w:sz w:val="24"/>
          <w:szCs w:val="24"/>
        </w:rPr>
        <w:t>By</w:t>
      </w:r>
    </w:p>
    <w:p w:rsidR="004D4E4C" w:rsidRDefault="004D4E4C" w:rsidP="003D6DDA">
      <w:pPr>
        <w:spacing w:after="0" w:line="240" w:lineRule="auto"/>
        <w:jc w:val="center"/>
        <w:rPr>
          <w:rFonts w:ascii="Times New Roman" w:hAnsi="Times New Roman" w:cs="Times New Roman"/>
          <w:sz w:val="24"/>
          <w:szCs w:val="24"/>
        </w:rPr>
      </w:pPr>
    </w:p>
    <w:p w:rsidR="004D4E4C" w:rsidRDefault="00482304" w:rsidP="003D6DD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We Ni</w:t>
      </w:r>
    </w:p>
    <w:p w:rsidR="00482304" w:rsidRDefault="00482304" w:rsidP="003D6DD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Annuar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Nassir</w:t>
      </w:r>
      <w:r w:rsidR="0037783B">
        <w:rPr>
          <w:rFonts w:ascii="Times New Roman" w:hAnsi="Times New Roman" w:cs="Times New Roman"/>
          <w:sz w:val="24"/>
          <w:szCs w:val="24"/>
        </w:rPr>
        <w:t>*</w:t>
      </w:r>
    </w:p>
    <w:p w:rsidR="00482304" w:rsidRDefault="00482304" w:rsidP="003D6D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Cheng Fan Fah</w:t>
      </w:r>
    </w:p>
    <w:p w:rsidR="00482304" w:rsidRPr="003406EC" w:rsidRDefault="00482304" w:rsidP="003D6DDA">
      <w:pPr>
        <w:spacing w:after="0" w:line="240" w:lineRule="auto"/>
        <w:jc w:val="center"/>
        <w:rPr>
          <w:rFonts w:ascii="Times New Roman" w:hAnsi="Times New Roman" w:cs="Times New Roman"/>
          <w:sz w:val="24"/>
          <w:szCs w:val="24"/>
        </w:rPr>
      </w:pPr>
    </w:p>
    <w:p w:rsidR="00180A10" w:rsidRDefault="001073BD" w:rsidP="003D6DDA">
      <w:pPr>
        <w:spacing w:after="0" w:line="240" w:lineRule="auto"/>
        <w:jc w:val="center"/>
        <w:rPr>
          <w:rFonts w:ascii="Times New Roman" w:hAnsi="Times New Roman" w:cs="Times New Roman"/>
          <w:sz w:val="24"/>
          <w:szCs w:val="24"/>
        </w:rPr>
      </w:pPr>
      <w:r w:rsidRPr="003406EC">
        <w:rPr>
          <w:rFonts w:ascii="Times New Roman" w:hAnsi="Times New Roman" w:cs="Times New Roman"/>
          <w:sz w:val="24"/>
          <w:szCs w:val="24"/>
        </w:rPr>
        <w:t>University Putra Malaysia</w:t>
      </w:r>
    </w:p>
    <w:p w:rsidR="0037783B" w:rsidRPr="003406EC" w:rsidRDefault="0037783B" w:rsidP="003D6D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*Research Associate, Center for Financial Economics Research</w:t>
      </w:r>
    </w:p>
    <w:p w:rsidR="001073BD" w:rsidRPr="003406EC" w:rsidRDefault="001073BD" w:rsidP="003D6DDA">
      <w:pPr>
        <w:spacing w:after="0" w:line="240" w:lineRule="auto"/>
        <w:rPr>
          <w:rFonts w:ascii="Times New Roman" w:hAnsi="Times New Roman" w:cs="Times New Roman"/>
          <w:i/>
          <w:sz w:val="24"/>
          <w:szCs w:val="24"/>
        </w:rPr>
      </w:pPr>
    </w:p>
    <w:p w:rsidR="001073BD" w:rsidRPr="003406EC" w:rsidRDefault="001073BD" w:rsidP="003D6DDA">
      <w:pPr>
        <w:spacing w:after="0" w:line="240" w:lineRule="auto"/>
        <w:rPr>
          <w:rFonts w:ascii="Times New Roman" w:hAnsi="Times New Roman" w:cs="Times New Roman"/>
          <w:i/>
          <w:sz w:val="24"/>
          <w:szCs w:val="24"/>
        </w:rPr>
      </w:pPr>
    </w:p>
    <w:p w:rsidR="001073BD" w:rsidRPr="003406EC" w:rsidRDefault="001073BD" w:rsidP="003D6DDA">
      <w:pPr>
        <w:spacing w:after="0" w:line="240" w:lineRule="auto"/>
        <w:rPr>
          <w:rFonts w:ascii="Times New Roman" w:hAnsi="Times New Roman" w:cs="Times New Roman"/>
          <w:i/>
          <w:sz w:val="24"/>
          <w:szCs w:val="24"/>
        </w:rPr>
      </w:pPr>
    </w:p>
    <w:p w:rsidR="001073BD" w:rsidRDefault="001073BD" w:rsidP="003D6DDA">
      <w:pPr>
        <w:spacing w:after="0" w:line="240" w:lineRule="auto"/>
        <w:rPr>
          <w:rFonts w:ascii="Times New Roman" w:hAnsi="Times New Roman" w:cs="Times New Roman"/>
          <w:i/>
          <w:sz w:val="24"/>
          <w:szCs w:val="24"/>
        </w:rPr>
      </w:pPr>
    </w:p>
    <w:p w:rsidR="00482304" w:rsidRDefault="00482304" w:rsidP="003D6DDA">
      <w:pPr>
        <w:spacing w:after="0" w:line="240" w:lineRule="auto"/>
        <w:rPr>
          <w:rFonts w:ascii="Times New Roman" w:hAnsi="Times New Roman" w:cs="Times New Roman"/>
          <w:i/>
          <w:sz w:val="24"/>
          <w:szCs w:val="24"/>
        </w:rPr>
      </w:pPr>
    </w:p>
    <w:p w:rsidR="00482304" w:rsidRDefault="00482304" w:rsidP="003D6DDA">
      <w:pPr>
        <w:spacing w:after="0" w:line="240" w:lineRule="auto"/>
        <w:rPr>
          <w:rFonts w:ascii="Times New Roman" w:hAnsi="Times New Roman" w:cs="Times New Roman"/>
          <w:i/>
          <w:sz w:val="24"/>
          <w:szCs w:val="24"/>
        </w:rPr>
      </w:pPr>
    </w:p>
    <w:p w:rsidR="00482304" w:rsidRPr="003406EC" w:rsidRDefault="00482304" w:rsidP="003D6DDA">
      <w:pPr>
        <w:spacing w:after="0" w:line="240" w:lineRule="auto"/>
        <w:rPr>
          <w:rFonts w:ascii="Times New Roman" w:hAnsi="Times New Roman" w:cs="Times New Roman"/>
          <w:i/>
          <w:sz w:val="24"/>
          <w:szCs w:val="24"/>
        </w:rPr>
      </w:pPr>
    </w:p>
    <w:p w:rsidR="001073BD" w:rsidRPr="003406EC" w:rsidRDefault="001073BD" w:rsidP="003D6DDA">
      <w:pPr>
        <w:spacing w:after="0" w:line="240" w:lineRule="auto"/>
        <w:rPr>
          <w:rFonts w:ascii="Times New Roman" w:hAnsi="Times New Roman" w:cs="Times New Roman"/>
          <w:i/>
          <w:sz w:val="24"/>
          <w:szCs w:val="24"/>
        </w:rPr>
      </w:pPr>
    </w:p>
    <w:p w:rsidR="001073BD" w:rsidRPr="003406EC" w:rsidRDefault="001073BD" w:rsidP="003D6DDA">
      <w:pPr>
        <w:spacing w:after="0" w:line="240" w:lineRule="auto"/>
        <w:jc w:val="both"/>
        <w:rPr>
          <w:rFonts w:ascii="Times New Roman" w:hAnsi="Times New Roman" w:cs="Times New Roman"/>
          <w:i/>
          <w:sz w:val="24"/>
          <w:szCs w:val="24"/>
        </w:rPr>
      </w:pPr>
      <w:r w:rsidRPr="003406EC">
        <w:rPr>
          <w:rFonts w:ascii="Times New Roman" w:hAnsi="Times New Roman" w:cs="Times New Roman"/>
          <w:b/>
          <w:i/>
          <w:sz w:val="24"/>
          <w:szCs w:val="24"/>
        </w:rPr>
        <w:t>Acknowledgment</w:t>
      </w:r>
      <w:r w:rsidRPr="003406EC">
        <w:rPr>
          <w:rFonts w:ascii="Times New Roman" w:hAnsi="Times New Roman" w:cs="Times New Roman"/>
          <w:i/>
          <w:sz w:val="24"/>
          <w:szCs w:val="24"/>
        </w:rPr>
        <w:t xml:space="preserve">: </w:t>
      </w:r>
      <w:r w:rsidRPr="003406EC">
        <w:rPr>
          <w:rFonts w:ascii="Times New Roman" w:hAnsi="Times New Roman" w:cs="Times New Roman"/>
          <w:sz w:val="24"/>
          <w:szCs w:val="24"/>
        </w:rPr>
        <w:t>The first author wishes to record her sincere appreciation to the Doctoral Committee members for their guidance of her research.</w:t>
      </w:r>
      <w:r w:rsidRPr="003406EC">
        <w:rPr>
          <w:rFonts w:ascii="Times New Roman" w:hAnsi="Times New Roman" w:cs="Times New Roman"/>
          <w:i/>
          <w:sz w:val="24"/>
          <w:szCs w:val="24"/>
        </w:rPr>
        <w:t xml:space="preserve"> </w:t>
      </w:r>
      <w:r w:rsidR="00B052D2" w:rsidRPr="003406EC">
        <w:rPr>
          <w:rFonts w:ascii="Times New Roman" w:hAnsi="Times New Roman" w:cs="Times New Roman"/>
          <w:sz w:val="24"/>
          <w:szCs w:val="24"/>
        </w:rPr>
        <w:t>This paper is based on part of the findings reported in the thesis.</w:t>
      </w:r>
      <w:r w:rsidRPr="003406EC">
        <w:rPr>
          <w:rFonts w:ascii="Times New Roman" w:hAnsi="Times New Roman" w:cs="Times New Roman"/>
          <w:i/>
          <w:sz w:val="24"/>
          <w:szCs w:val="24"/>
        </w:rPr>
        <w:br w:type="page"/>
      </w:r>
    </w:p>
    <w:p w:rsidR="001073BD" w:rsidRPr="003406EC" w:rsidRDefault="001073BD" w:rsidP="003D6DDA">
      <w:pPr>
        <w:spacing w:after="0" w:line="240" w:lineRule="auto"/>
        <w:jc w:val="center"/>
        <w:rPr>
          <w:rFonts w:ascii="Times New Roman" w:hAnsi="Times New Roman" w:cs="Times New Roman"/>
          <w:b/>
          <w:sz w:val="24"/>
          <w:szCs w:val="24"/>
        </w:rPr>
      </w:pPr>
      <w:r w:rsidRPr="003406EC">
        <w:rPr>
          <w:rFonts w:ascii="Times New Roman" w:hAnsi="Times New Roman" w:cs="Times New Roman"/>
          <w:b/>
          <w:sz w:val="24"/>
          <w:szCs w:val="24"/>
        </w:rPr>
        <w:lastRenderedPageBreak/>
        <w:t>Abstract</w:t>
      </w:r>
    </w:p>
    <w:p w:rsidR="00E67992" w:rsidRPr="00721C8B" w:rsidRDefault="00B96D54" w:rsidP="00A65E2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This paper reports new findings on how financial ratios and risk factors of corporations are correlated with cash holdings in Korea and Malaysia. Financial risk and risk factor effects of low cash holding firms and high cash holding firms are similar in both stock exchanges. The means of all variables are higher in high cash holdings firms. </w:t>
      </w:r>
      <w:r w:rsidR="00A65E2C">
        <w:rPr>
          <w:rFonts w:ascii="Times New Roman" w:hAnsi="Times New Roman" w:cs="Times New Roman"/>
          <w:i/>
          <w:sz w:val="24"/>
          <w:szCs w:val="24"/>
        </w:rPr>
        <w:t xml:space="preserve">The significant results in the form of higher values of financial ratios and risk factors is related to the objective of meeting liquidity needs of firms by providing flexibility to meet uncertainties in the demand for cash flows in the future. The lagged cash flow variables have a significant impact on current cash holdings. </w:t>
      </w:r>
      <w:r w:rsidR="00A65E2C" w:rsidRPr="003D7B65">
        <w:rPr>
          <w:rFonts w:ascii="Times New Roman" w:hAnsi="Times New Roman" w:cs="Times New Roman"/>
          <w:i/>
          <w:strike/>
          <w:sz w:val="24"/>
          <w:szCs w:val="24"/>
        </w:rPr>
        <w:t>The</w:t>
      </w:r>
      <w:r w:rsidR="003D7B65">
        <w:rPr>
          <w:rFonts w:ascii="Times New Roman" w:hAnsi="Times New Roman" w:cs="Times New Roman"/>
          <w:i/>
          <w:sz w:val="24"/>
          <w:szCs w:val="24"/>
        </w:rPr>
        <w:t xml:space="preserve"> </w:t>
      </w:r>
      <w:r w:rsidR="001E0017">
        <w:rPr>
          <w:rFonts w:ascii="Times New Roman" w:hAnsi="Times New Roman" w:cs="Times New Roman"/>
          <w:i/>
          <w:sz w:val="24"/>
          <w:szCs w:val="24"/>
        </w:rPr>
        <w:t>L</w:t>
      </w:r>
      <w:r w:rsidR="00A65E2C">
        <w:rPr>
          <w:rFonts w:ascii="Times New Roman" w:hAnsi="Times New Roman" w:cs="Times New Roman"/>
          <w:i/>
          <w:sz w:val="24"/>
          <w:szCs w:val="24"/>
        </w:rPr>
        <w:t>iquidity and repayment ability in Korea and low cash holdings firms in Malaysia have similar</w:t>
      </w:r>
      <w:r w:rsidR="001E0017">
        <w:rPr>
          <w:rFonts w:ascii="Times New Roman" w:hAnsi="Times New Roman" w:cs="Times New Roman"/>
          <w:i/>
          <w:sz w:val="24"/>
          <w:szCs w:val="24"/>
        </w:rPr>
        <w:t xml:space="preserve"> findings. These findings</w:t>
      </w:r>
      <w:r w:rsidR="00A65E2C">
        <w:rPr>
          <w:rFonts w:ascii="Times New Roman" w:hAnsi="Times New Roman" w:cs="Times New Roman"/>
          <w:i/>
          <w:sz w:val="24"/>
          <w:szCs w:val="24"/>
        </w:rPr>
        <w:t xml:space="preserve"> </w:t>
      </w:r>
      <w:r w:rsidR="003D7B65" w:rsidRPr="001E0017">
        <w:rPr>
          <w:rFonts w:ascii="Times New Roman" w:hAnsi="Times New Roman" w:cs="Times New Roman"/>
          <w:i/>
          <w:sz w:val="24"/>
          <w:szCs w:val="24"/>
        </w:rPr>
        <w:t>add</w:t>
      </w:r>
      <w:r w:rsidR="003D7B65">
        <w:rPr>
          <w:rFonts w:ascii="Times New Roman" w:hAnsi="Times New Roman" w:cs="Times New Roman"/>
          <w:i/>
          <w:sz w:val="24"/>
          <w:szCs w:val="24"/>
        </w:rPr>
        <w:t xml:space="preserve"> </w:t>
      </w:r>
      <w:r w:rsidR="00A65E2C">
        <w:rPr>
          <w:rFonts w:ascii="Times New Roman" w:hAnsi="Times New Roman" w:cs="Times New Roman"/>
          <w:i/>
          <w:sz w:val="24"/>
          <w:szCs w:val="24"/>
        </w:rPr>
        <w:t xml:space="preserve">new insights on how cash holding size is associated with key firm-specific and economic factors such as exchange rates and inflation factors. </w:t>
      </w:r>
    </w:p>
    <w:p w:rsidR="001073BD" w:rsidRPr="003406EC" w:rsidRDefault="001073BD" w:rsidP="003D6DDA">
      <w:pPr>
        <w:spacing w:after="0" w:line="240" w:lineRule="auto"/>
        <w:rPr>
          <w:rFonts w:ascii="Times New Roman" w:hAnsi="Times New Roman" w:cs="Times New Roman"/>
          <w:sz w:val="24"/>
          <w:szCs w:val="24"/>
        </w:rPr>
      </w:pPr>
    </w:p>
    <w:p w:rsidR="006E635A" w:rsidRPr="003406EC" w:rsidRDefault="006E635A" w:rsidP="003D6DDA">
      <w:pPr>
        <w:spacing w:after="0" w:line="240" w:lineRule="auto"/>
        <w:rPr>
          <w:rFonts w:ascii="Times New Roman" w:hAnsi="Times New Roman" w:cs="Times New Roman"/>
          <w:sz w:val="24"/>
          <w:szCs w:val="24"/>
        </w:rPr>
      </w:pPr>
    </w:p>
    <w:p w:rsidR="00B81D0A" w:rsidRDefault="00B81D0A" w:rsidP="003D6DDA">
      <w:pPr>
        <w:spacing w:after="0" w:line="240" w:lineRule="auto"/>
        <w:rPr>
          <w:rFonts w:ascii="Times New Roman" w:hAnsi="Times New Roman" w:cs="Times New Roman"/>
          <w:sz w:val="24"/>
          <w:szCs w:val="24"/>
        </w:rPr>
      </w:pPr>
    </w:p>
    <w:p w:rsidR="006E635A" w:rsidRDefault="006E635A" w:rsidP="00A30033">
      <w:pPr>
        <w:pStyle w:val="ListParagraph"/>
        <w:numPr>
          <w:ilvl w:val="0"/>
          <w:numId w:val="31"/>
        </w:numPr>
        <w:spacing w:after="0" w:line="240" w:lineRule="auto"/>
        <w:rPr>
          <w:rFonts w:ascii="Times New Roman" w:hAnsi="Times New Roman" w:cs="Times New Roman"/>
          <w:b/>
          <w:sz w:val="24"/>
          <w:szCs w:val="24"/>
        </w:rPr>
      </w:pPr>
      <w:r w:rsidRPr="00A30033">
        <w:rPr>
          <w:rFonts w:ascii="Times New Roman" w:hAnsi="Times New Roman" w:cs="Times New Roman"/>
          <w:b/>
          <w:sz w:val="24"/>
          <w:szCs w:val="24"/>
        </w:rPr>
        <w:t>Introduction</w:t>
      </w:r>
    </w:p>
    <w:p w:rsidR="009E69E9" w:rsidRPr="00A30033" w:rsidRDefault="009E69E9" w:rsidP="009E69E9">
      <w:pPr>
        <w:pStyle w:val="ListParagraph"/>
        <w:spacing w:after="0" w:line="240" w:lineRule="auto"/>
        <w:ind w:left="360"/>
        <w:rPr>
          <w:rFonts w:ascii="Times New Roman" w:hAnsi="Times New Roman" w:cs="Times New Roman"/>
          <w:b/>
          <w:sz w:val="24"/>
          <w:szCs w:val="24"/>
        </w:rPr>
      </w:pPr>
    </w:p>
    <w:p w:rsidR="00A65E2C" w:rsidRPr="00A65E2C" w:rsidRDefault="00A65E2C" w:rsidP="00A65E2C">
      <w:pPr>
        <w:spacing w:after="0" w:line="240" w:lineRule="auto"/>
        <w:ind w:left="360"/>
        <w:rPr>
          <w:rFonts w:ascii="Times New Roman" w:hAnsi="Times New Roman" w:cs="Times New Roman"/>
          <w:b/>
          <w:sz w:val="24"/>
          <w:szCs w:val="24"/>
        </w:rPr>
      </w:pPr>
    </w:p>
    <w:p w:rsidR="00A30033" w:rsidRDefault="00A65E2C" w:rsidP="00A30033">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paper </w:t>
      </w:r>
      <w:r w:rsidRPr="003406EC">
        <w:rPr>
          <w:rFonts w:ascii="Times New Roman" w:hAnsi="Times New Roman" w:cs="Times New Roman"/>
          <w:sz w:val="24"/>
          <w:szCs w:val="24"/>
        </w:rPr>
        <w:t xml:space="preserve">identifies the correlation of financial ratios and risk factors on cash holdings of firms </w:t>
      </w:r>
      <w:r w:rsidR="006E635A" w:rsidRPr="003406EC">
        <w:rPr>
          <w:rFonts w:ascii="Times New Roman" w:hAnsi="Times New Roman" w:cs="Times New Roman"/>
          <w:sz w:val="24"/>
          <w:szCs w:val="24"/>
        </w:rPr>
        <w:t xml:space="preserve">in Korean and Malaysian stock exchanges. </w:t>
      </w:r>
      <w:r>
        <w:rPr>
          <w:rFonts w:ascii="Times New Roman" w:hAnsi="Times New Roman" w:cs="Times New Roman"/>
          <w:sz w:val="24"/>
          <w:szCs w:val="24"/>
        </w:rPr>
        <w:t>F</w:t>
      </w:r>
      <w:r w:rsidR="006E635A" w:rsidRPr="003406EC">
        <w:rPr>
          <w:rFonts w:ascii="Times New Roman" w:hAnsi="Times New Roman" w:cs="Times New Roman"/>
          <w:sz w:val="24"/>
          <w:szCs w:val="24"/>
        </w:rPr>
        <w:t xml:space="preserve">irm </w:t>
      </w:r>
      <w:r>
        <w:rPr>
          <w:rFonts w:ascii="Times New Roman" w:hAnsi="Times New Roman" w:cs="Times New Roman"/>
          <w:sz w:val="24"/>
          <w:szCs w:val="24"/>
        </w:rPr>
        <w:t>has i</w:t>
      </w:r>
      <w:r w:rsidR="00B052D2" w:rsidRPr="003406EC">
        <w:rPr>
          <w:rFonts w:ascii="Times New Roman" w:hAnsi="Times New Roman" w:cs="Times New Roman"/>
          <w:sz w:val="24"/>
          <w:szCs w:val="24"/>
        </w:rPr>
        <w:t xml:space="preserve">nsufficient funds to meet </w:t>
      </w:r>
      <w:r w:rsidR="006E635A" w:rsidRPr="003406EC">
        <w:rPr>
          <w:rFonts w:ascii="Times New Roman" w:hAnsi="Times New Roman" w:cs="Times New Roman"/>
          <w:sz w:val="24"/>
          <w:szCs w:val="24"/>
        </w:rPr>
        <w:t xml:space="preserve">cash </w:t>
      </w:r>
      <w:r w:rsidR="00B052D2" w:rsidRPr="003406EC">
        <w:rPr>
          <w:rFonts w:ascii="Times New Roman" w:hAnsi="Times New Roman" w:cs="Times New Roman"/>
          <w:sz w:val="24"/>
          <w:szCs w:val="24"/>
        </w:rPr>
        <w:t>demands on the firm</w:t>
      </w:r>
      <w:r>
        <w:rPr>
          <w:rFonts w:ascii="Times New Roman" w:hAnsi="Times New Roman" w:cs="Times New Roman"/>
          <w:sz w:val="24"/>
          <w:szCs w:val="24"/>
        </w:rPr>
        <w:t xml:space="preserve"> is more </w:t>
      </w:r>
      <w:r w:rsidRPr="003406EC">
        <w:rPr>
          <w:rFonts w:ascii="Times New Roman" w:hAnsi="Times New Roman" w:cs="Times New Roman"/>
          <w:sz w:val="24"/>
          <w:szCs w:val="24"/>
        </w:rPr>
        <w:t>likely technical bankruptcy</w:t>
      </w:r>
      <w:r w:rsidR="00B052D2" w:rsidRPr="003406EC">
        <w:rPr>
          <w:rFonts w:ascii="Times New Roman" w:hAnsi="Times New Roman" w:cs="Times New Roman"/>
          <w:sz w:val="24"/>
          <w:szCs w:val="24"/>
        </w:rPr>
        <w:t xml:space="preserve">. </w:t>
      </w:r>
      <w:r w:rsidR="00A30033">
        <w:rPr>
          <w:rFonts w:ascii="Times New Roman" w:hAnsi="Times New Roman" w:cs="Times New Roman"/>
          <w:sz w:val="24"/>
          <w:szCs w:val="24"/>
        </w:rPr>
        <w:t xml:space="preserve">Some of the significant financial factors, such as liquidity and solvency factors, </w:t>
      </w:r>
      <w:r w:rsidR="00A30033" w:rsidRPr="003406EC">
        <w:rPr>
          <w:rFonts w:ascii="Times New Roman" w:hAnsi="Times New Roman" w:cs="Times New Roman"/>
          <w:sz w:val="24"/>
          <w:szCs w:val="24"/>
        </w:rPr>
        <w:t>correspond to the liquidity conditions and financial health of firms in both short and long terms. Liquidity factor refers to the probability of facing losses when disposing of or selling assets to meet short-term obligations. Highly liquid assets can be sold easily and with little loss at no additional cost and with minimal chance of illiquidity. Besides, the management of funding sources and the overall monitoring of market conditions also play an important role in affecting the ability to liquidate the assets of the firms with good value. Too little cash forces the firms to liquidate productive assets; holding too much cash will reduce profitability. Long-term solvency factor concerns are not affected by external funding costs; therefore cash holdings become moderately unimportant. Firms will turn insolvent as they fail to meet maturing obligations on the due dates of long-term obligations (after disposal of their assets). Since cash holdings are the most liquid assets in the short term, it is expected that the liquidity factor is significant in explaining the ratio of cash that a firm holds. But, the relationship between solvency factor and cash ratios is perceived to be weaker or not significant.</w:t>
      </w:r>
    </w:p>
    <w:p w:rsidR="00A30033" w:rsidRDefault="00A30033" w:rsidP="00A65E2C">
      <w:pPr>
        <w:pStyle w:val="ListParagraph"/>
        <w:spacing w:after="0" w:line="240" w:lineRule="auto"/>
        <w:ind w:left="0"/>
        <w:contextualSpacing w:val="0"/>
        <w:jc w:val="both"/>
        <w:rPr>
          <w:rFonts w:ascii="Times New Roman" w:hAnsi="Times New Roman" w:cs="Times New Roman"/>
          <w:sz w:val="24"/>
          <w:szCs w:val="24"/>
        </w:rPr>
      </w:pPr>
    </w:p>
    <w:p w:rsidR="00A30033" w:rsidRDefault="00A30033" w:rsidP="00A30033">
      <w:p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7B65" w:rsidRPr="001E0017">
        <w:rPr>
          <w:rFonts w:ascii="Times New Roman" w:hAnsi="Times New Roman" w:cs="Times New Roman"/>
          <w:sz w:val="24"/>
          <w:szCs w:val="24"/>
        </w:rPr>
        <w:t>A co</w:t>
      </w:r>
      <w:r w:rsidR="006532F1" w:rsidRPr="001E0017">
        <w:rPr>
          <w:rFonts w:ascii="Times New Roman" w:hAnsi="Times New Roman" w:cs="Times New Roman"/>
          <w:sz w:val="24"/>
          <w:szCs w:val="24"/>
        </w:rPr>
        <w:t>m</w:t>
      </w:r>
      <w:r w:rsidR="003D7B65" w:rsidRPr="001E0017">
        <w:rPr>
          <w:rFonts w:ascii="Times New Roman" w:hAnsi="Times New Roman" w:cs="Times New Roman"/>
          <w:sz w:val="24"/>
          <w:szCs w:val="24"/>
        </w:rPr>
        <w:t>pe</w:t>
      </w:r>
      <w:r w:rsidR="006532F1" w:rsidRPr="001E0017">
        <w:rPr>
          <w:rFonts w:ascii="Times New Roman" w:hAnsi="Times New Roman" w:cs="Times New Roman"/>
          <w:sz w:val="24"/>
          <w:szCs w:val="24"/>
        </w:rPr>
        <w:t>n</w:t>
      </w:r>
      <w:r w:rsidR="003D7B65" w:rsidRPr="001E0017">
        <w:rPr>
          <w:rFonts w:ascii="Times New Roman" w:hAnsi="Times New Roman" w:cs="Times New Roman"/>
          <w:sz w:val="24"/>
          <w:szCs w:val="24"/>
        </w:rPr>
        <w:t xml:space="preserve">dium </w:t>
      </w:r>
      <w:r w:rsidR="003D7B65">
        <w:rPr>
          <w:rFonts w:ascii="Times New Roman" w:hAnsi="Times New Roman" w:cs="Times New Roman"/>
          <w:sz w:val="24"/>
          <w:szCs w:val="24"/>
        </w:rPr>
        <w:t xml:space="preserve">of work </w:t>
      </w:r>
      <w:r w:rsidRPr="003406EC">
        <w:rPr>
          <w:rFonts w:ascii="Times New Roman" w:hAnsi="Times New Roman" w:cs="Times New Roman"/>
          <w:sz w:val="24"/>
          <w:szCs w:val="24"/>
        </w:rPr>
        <w:t>has been done on determinants of cash holdings. However, the elements found to relate to cash holdings are unable to mitigate the exposure of a firm to certain risks and fail to contribute to a firm’s risk management, whether towards financial ratios and risk factors. Managing risk is one of the primary objectives of firms operating internationally (</w:t>
      </w:r>
      <w:proofErr w:type="spellStart"/>
      <w:r w:rsidRPr="003406EC">
        <w:rPr>
          <w:rFonts w:ascii="Times New Roman" w:hAnsi="Times New Roman" w:cs="Times New Roman"/>
          <w:sz w:val="24"/>
          <w:szCs w:val="24"/>
        </w:rPr>
        <w:t>Ghoshal</w:t>
      </w:r>
      <w:proofErr w:type="spellEnd"/>
      <w:r w:rsidRPr="003406EC">
        <w:rPr>
          <w:rFonts w:ascii="Times New Roman" w:hAnsi="Times New Roman" w:cs="Times New Roman"/>
          <w:sz w:val="24"/>
          <w:szCs w:val="24"/>
        </w:rPr>
        <w:t xml:space="preserve">, 1987). Cash holdings might be affected by the changes in certain financial ratio and risk factors, and risk is the main issue that leads to varying outcomes of expected results. Therefore </w:t>
      </w:r>
      <w:r>
        <w:rPr>
          <w:rFonts w:ascii="Times New Roman" w:hAnsi="Times New Roman" w:cs="Times New Roman"/>
          <w:sz w:val="24"/>
          <w:szCs w:val="24"/>
        </w:rPr>
        <w:t>this study</w:t>
      </w:r>
      <w:r w:rsidRPr="003406EC">
        <w:rPr>
          <w:rFonts w:ascii="Times New Roman" w:hAnsi="Times New Roman" w:cs="Times New Roman"/>
          <w:sz w:val="24"/>
          <w:szCs w:val="24"/>
        </w:rPr>
        <w:t xml:space="preserve"> tend to link cash, financial ratio and risk factors together as they are all related in determining firm’s </w:t>
      </w:r>
      <w:r>
        <w:rPr>
          <w:rFonts w:ascii="Times New Roman" w:hAnsi="Times New Roman" w:cs="Times New Roman"/>
          <w:sz w:val="24"/>
          <w:szCs w:val="24"/>
        </w:rPr>
        <w:t>cash holdings decision</w:t>
      </w:r>
      <w:r w:rsidRPr="003406EC">
        <w:rPr>
          <w:rFonts w:ascii="Times New Roman" w:hAnsi="Times New Roman" w:cs="Times New Roman"/>
          <w:sz w:val="24"/>
          <w:szCs w:val="24"/>
        </w:rPr>
        <w:t xml:space="preserve">. </w:t>
      </w:r>
      <w:r>
        <w:rPr>
          <w:rFonts w:ascii="Times New Roman" w:hAnsi="Times New Roman" w:cs="Times New Roman"/>
          <w:sz w:val="24"/>
          <w:szCs w:val="24"/>
        </w:rPr>
        <w:t xml:space="preserve">Financial ratios and risk factors are more easy to link with and understandable for investors. The linkage among the financial ratios, risk factors and cash holdings, which are concerned by investors, gives clearer picture to investors on the judgement of the cash holding size. </w:t>
      </w:r>
      <w:r w:rsidRPr="003406EC">
        <w:rPr>
          <w:rFonts w:ascii="Times New Roman" w:hAnsi="Times New Roman" w:cs="Times New Roman"/>
          <w:sz w:val="24"/>
          <w:szCs w:val="24"/>
        </w:rPr>
        <w:t xml:space="preserve">The findings could also serve as reference for shareholders to understand the purpose of management to increase cash holdings. </w:t>
      </w:r>
    </w:p>
    <w:p w:rsidR="00A30033" w:rsidRDefault="00A30033" w:rsidP="00A30033">
      <w:pPr>
        <w:pStyle w:val="ListParagraph"/>
        <w:spacing w:after="0" w:line="240" w:lineRule="auto"/>
        <w:ind w:left="0" w:firstLine="720"/>
        <w:contextualSpacing w:val="0"/>
        <w:jc w:val="both"/>
        <w:rPr>
          <w:rFonts w:ascii="Times New Roman" w:hAnsi="Times New Roman" w:cs="Times New Roman"/>
          <w:sz w:val="24"/>
          <w:szCs w:val="24"/>
        </w:rPr>
      </w:pPr>
    </w:p>
    <w:p w:rsidR="00A65E2C" w:rsidRPr="00A30033" w:rsidRDefault="006E635A" w:rsidP="00A30033">
      <w:pPr>
        <w:pStyle w:val="ListParagraph"/>
        <w:spacing w:after="0" w:line="240" w:lineRule="auto"/>
        <w:ind w:left="0" w:firstLine="720"/>
        <w:contextualSpacing w:val="0"/>
        <w:jc w:val="both"/>
        <w:rPr>
          <w:rFonts w:ascii="Times New Roman" w:hAnsi="Times New Roman" w:cs="Times New Roman"/>
          <w:sz w:val="24"/>
          <w:szCs w:val="24"/>
        </w:rPr>
      </w:pPr>
      <w:r w:rsidRPr="003406EC">
        <w:rPr>
          <w:rFonts w:ascii="Times New Roman" w:hAnsi="Times New Roman" w:cs="Times New Roman"/>
          <w:sz w:val="24"/>
          <w:szCs w:val="24"/>
        </w:rPr>
        <w:t>The motivation for this research is to add findings relevant to the risk management literature by providing evidence of risk factors that influence the level of cash holdings</w:t>
      </w:r>
      <w:r w:rsidR="00B052D2" w:rsidRPr="003406EC">
        <w:rPr>
          <w:rFonts w:ascii="Times New Roman" w:hAnsi="Times New Roman" w:cs="Times New Roman"/>
          <w:sz w:val="24"/>
          <w:szCs w:val="24"/>
        </w:rPr>
        <w:t xml:space="preserve"> in two yet studied economies, namely Korea and Malaysia</w:t>
      </w:r>
      <w:r w:rsidRPr="003406EC">
        <w:rPr>
          <w:rFonts w:ascii="Times New Roman" w:hAnsi="Times New Roman" w:cs="Times New Roman"/>
          <w:sz w:val="24"/>
          <w:szCs w:val="24"/>
        </w:rPr>
        <w:t xml:space="preserve">. </w:t>
      </w:r>
      <w:r w:rsidR="00A65E2C" w:rsidRPr="003406EC">
        <w:rPr>
          <w:rFonts w:ascii="Times New Roman" w:hAnsi="Times New Roman" w:cs="Times New Roman"/>
          <w:sz w:val="24"/>
          <w:szCs w:val="24"/>
        </w:rPr>
        <w:t>Both economies have advanced institutional and regulatory frameworks in that the accounting standards are well developed, standards of supervision of securities markets are advanced, as are trading practices. Both economies are relatively affluent economies, though Korea has joined the ranks of developed economies some years back while Malaysia hopes to do so by the year 2012 with its current per capita income close to US$ 10,000, which is somewhat below the income level needed to qualify for classification as developed economy. The similarity in standards of regulations and supervision make these two cases to be compared in this paper.</w:t>
      </w:r>
      <w:r w:rsidR="00A30033">
        <w:rPr>
          <w:rFonts w:ascii="Times New Roman" w:hAnsi="Times New Roman" w:cs="Times New Roman"/>
          <w:sz w:val="24"/>
          <w:szCs w:val="24"/>
        </w:rPr>
        <w:t xml:space="preserve"> </w:t>
      </w:r>
    </w:p>
    <w:p w:rsidR="00F56990" w:rsidRPr="003406EC" w:rsidRDefault="00F56990" w:rsidP="003D6DDA">
      <w:pPr>
        <w:pStyle w:val="ListParagraph"/>
        <w:spacing w:after="0" w:line="240" w:lineRule="auto"/>
        <w:ind w:left="0" w:firstLine="720"/>
        <w:contextualSpacing w:val="0"/>
        <w:jc w:val="both"/>
        <w:rPr>
          <w:rFonts w:ascii="Times New Roman" w:hAnsi="Times New Roman" w:cs="Times New Roman"/>
          <w:sz w:val="24"/>
          <w:szCs w:val="24"/>
        </w:rPr>
      </w:pPr>
    </w:p>
    <w:p w:rsidR="009C27D7" w:rsidRPr="003406EC" w:rsidRDefault="009C27D7" w:rsidP="003D6DDA">
      <w:pPr>
        <w:pStyle w:val="ListParagraph"/>
        <w:spacing w:after="0" w:line="240" w:lineRule="auto"/>
        <w:ind w:left="0" w:firstLine="720"/>
        <w:contextualSpacing w:val="0"/>
        <w:jc w:val="both"/>
        <w:rPr>
          <w:rFonts w:ascii="Times New Roman" w:hAnsi="Times New Roman" w:cs="Times New Roman"/>
          <w:sz w:val="24"/>
          <w:szCs w:val="24"/>
        </w:rPr>
      </w:pPr>
      <w:r w:rsidRPr="003406EC">
        <w:rPr>
          <w:rFonts w:ascii="Times New Roman" w:hAnsi="Times New Roman" w:cs="Times New Roman"/>
          <w:sz w:val="24"/>
          <w:szCs w:val="24"/>
        </w:rPr>
        <w:t>The rest of the paper is organized into the following section. In section 2 one could find a summary of review of literature on cash holdings. Section 3 provides a summary of discussion how an appropriate advanced methodology is selected to study this aspect</w:t>
      </w:r>
      <w:r w:rsidR="00967D3D" w:rsidRPr="003406EC">
        <w:rPr>
          <w:rFonts w:ascii="Times New Roman" w:hAnsi="Times New Roman" w:cs="Times New Roman"/>
          <w:sz w:val="24"/>
          <w:szCs w:val="24"/>
        </w:rPr>
        <w:t xml:space="preserve">. </w:t>
      </w:r>
      <w:r w:rsidRPr="003406EC">
        <w:rPr>
          <w:rFonts w:ascii="Times New Roman" w:hAnsi="Times New Roman" w:cs="Times New Roman"/>
          <w:sz w:val="24"/>
          <w:szCs w:val="24"/>
        </w:rPr>
        <w:t xml:space="preserve">The findings are reported in Section 4 while the paper ends in Section 5 with a conclusion. </w:t>
      </w:r>
    </w:p>
    <w:p w:rsidR="004116D4" w:rsidRDefault="004116D4" w:rsidP="003D6DDA">
      <w:pPr>
        <w:pStyle w:val="ListParagraph"/>
        <w:spacing w:after="0" w:line="240" w:lineRule="auto"/>
        <w:ind w:left="0"/>
        <w:jc w:val="both"/>
        <w:rPr>
          <w:rFonts w:ascii="Times New Roman" w:hAnsi="Times New Roman" w:cs="Times New Roman"/>
          <w:b/>
          <w:sz w:val="24"/>
          <w:szCs w:val="24"/>
        </w:rPr>
      </w:pPr>
    </w:p>
    <w:p w:rsidR="009E69E9" w:rsidRDefault="009E69E9" w:rsidP="003D6DDA">
      <w:pPr>
        <w:pStyle w:val="ListParagraph"/>
        <w:spacing w:after="0" w:line="240" w:lineRule="auto"/>
        <w:ind w:left="0"/>
        <w:jc w:val="both"/>
        <w:rPr>
          <w:rFonts w:ascii="Times New Roman" w:hAnsi="Times New Roman" w:cs="Times New Roman"/>
          <w:b/>
          <w:sz w:val="24"/>
          <w:szCs w:val="24"/>
        </w:rPr>
      </w:pPr>
    </w:p>
    <w:p w:rsidR="003D6DDA" w:rsidRPr="003406EC" w:rsidRDefault="003D6DDA" w:rsidP="003D6DDA">
      <w:pPr>
        <w:pStyle w:val="ListParagraph"/>
        <w:spacing w:after="0" w:line="240" w:lineRule="auto"/>
        <w:ind w:left="0"/>
        <w:jc w:val="both"/>
        <w:rPr>
          <w:rFonts w:ascii="Times New Roman" w:hAnsi="Times New Roman" w:cs="Times New Roman"/>
          <w:b/>
          <w:sz w:val="24"/>
          <w:szCs w:val="24"/>
        </w:rPr>
      </w:pPr>
    </w:p>
    <w:p w:rsidR="00A30033" w:rsidRPr="00A30033" w:rsidRDefault="00A30033" w:rsidP="00A30033">
      <w:pPr>
        <w:spacing w:after="0" w:line="240" w:lineRule="auto"/>
        <w:jc w:val="both"/>
        <w:rPr>
          <w:rFonts w:ascii="Times New Roman" w:hAnsi="Times New Roman" w:cs="Times New Roman"/>
          <w:b/>
          <w:sz w:val="24"/>
          <w:szCs w:val="24"/>
        </w:rPr>
      </w:pPr>
      <w:r w:rsidRPr="00A30033">
        <w:rPr>
          <w:rFonts w:ascii="Times New Roman" w:hAnsi="Times New Roman" w:cs="Times New Roman"/>
          <w:b/>
          <w:sz w:val="24"/>
          <w:szCs w:val="24"/>
        </w:rPr>
        <w:t xml:space="preserve">2.0 </w:t>
      </w:r>
      <w:r w:rsidR="00180A10" w:rsidRPr="00A30033">
        <w:rPr>
          <w:rFonts w:ascii="Times New Roman" w:hAnsi="Times New Roman" w:cs="Times New Roman"/>
          <w:b/>
          <w:sz w:val="24"/>
          <w:szCs w:val="24"/>
        </w:rPr>
        <w:t>Literature</w:t>
      </w:r>
      <w:r w:rsidRPr="00A30033">
        <w:rPr>
          <w:rFonts w:ascii="Times New Roman" w:hAnsi="Times New Roman" w:cs="Times New Roman"/>
          <w:b/>
          <w:sz w:val="24"/>
          <w:szCs w:val="24"/>
        </w:rPr>
        <w:t xml:space="preserve"> Review</w:t>
      </w:r>
    </w:p>
    <w:p w:rsidR="004116D4" w:rsidRDefault="004116D4" w:rsidP="003D6DDA">
      <w:pPr>
        <w:pStyle w:val="ListParagraph"/>
        <w:spacing w:after="0" w:line="240" w:lineRule="auto"/>
        <w:ind w:left="0"/>
        <w:jc w:val="both"/>
        <w:rPr>
          <w:rFonts w:ascii="Times New Roman" w:hAnsi="Times New Roman" w:cs="Times New Roman"/>
          <w:sz w:val="24"/>
          <w:szCs w:val="24"/>
        </w:rPr>
      </w:pPr>
      <w:r w:rsidRPr="003406EC">
        <w:rPr>
          <w:rFonts w:ascii="Times New Roman" w:hAnsi="Times New Roman" w:cs="Times New Roman"/>
          <w:sz w:val="24"/>
          <w:szCs w:val="24"/>
        </w:rPr>
        <w:tab/>
      </w:r>
    </w:p>
    <w:p w:rsidR="002D3CDC" w:rsidRPr="003406EC" w:rsidRDefault="002D3CDC" w:rsidP="003D6DDA">
      <w:pPr>
        <w:pStyle w:val="ListParagraph"/>
        <w:spacing w:after="0" w:line="240" w:lineRule="auto"/>
        <w:ind w:left="0"/>
        <w:jc w:val="both"/>
        <w:rPr>
          <w:rFonts w:ascii="Times New Roman" w:hAnsi="Times New Roman" w:cs="Times New Roman"/>
          <w:sz w:val="24"/>
          <w:szCs w:val="24"/>
        </w:rPr>
      </w:pPr>
    </w:p>
    <w:p w:rsidR="004116D4" w:rsidRDefault="004116D4"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Risk factors usually denote discrepancy in a firm’s performance or point to results that cannot be predicted before an incident occurs. The source of the risk could stem from external and internal factors that impact a firm’s performance such as profitability, management, liquidity, and others, in which the firm’s operations could be exposed to certain indeterminate environmental components. This term of risk tallies with that used by researchers in strategy management that apply the variance or standard deviation of performance variables over the fiscal accounting year (Miller, 1992).</w:t>
      </w:r>
    </w:p>
    <w:p w:rsidR="009E69E9" w:rsidRPr="003406EC" w:rsidRDefault="009E69E9" w:rsidP="003D6DDA">
      <w:pPr>
        <w:tabs>
          <w:tab w:val="left" w:pos="810"/>
        </w:tabs>
        <w:spacing w:after="0" w:line="240" w:lineRule="auto"/>
        <w:jc w:val="both"/>
        <w:rPr>
          <w:rFonts w:ascii="Times New Roman" w:hAnsi="Times New Roman" w:cs="Times New Roman"/>
          <w:sz w:val="24"/>
          <w:szCs w:val="24"/>
        </w:rPr>
      </w:pPr>
    </w:p>
    <w:p w:rsidR="007A7082" w:rsidRDefault="00B052D2"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ab/>
      </w:r>
      <w:r w:rsidR="007A7082" w:rsidRPr="003406EC">
        <w:rPr>
          <w:rFonts w:ascii="Times New Roman" w:hAnsi="Times New Roman" w:cs="Times New Roman"/>
          <w:sz w:val="24"/>
          <w:szCs w:val="24"/>
        </w:rPr>
        <w:t xml:space="preserve">The decision on a cash-holding policy is based on several risk factors, and the level of risk that corporations experience, especially credit risk that directly impacts a firm’s performance and market value. In general, the corporation with higher cash holdings should be safer and face lower credit risk. However, Acharya et al. (2011) remarked that the optimal cash reserves is actually significant and positively related to the risk spread, and their findings showed stronger evidence toward lower credit ratings. </w:t>
      </w:r>
    </w:p>
    <w:p w:rsidR="009E69E9" w:rsidRPr="003406EC" w:rsidRDefault="009E69E9" w:rsidP="003D6DDA">
      <w:pPr>
        <w:tabs>
          <w:tab w:val="left" w:pos="810"/>
        </w:tabs>
        <w:spacing w:after="0" w:line="240" w:lineRule="auto"/>
        <w:jc w:val="both"/>
        <w:rPr>
          <w:rFonts w:ascii="Times New Roman" w:hAnsi="Times New Roman" w:cs="Times New Roman"/>
          <w:sz w:val="24"/>
          <w:szCs w:val="24"/>
        </w:rPr>
      </w:pPr>
    </w:p>
    <w:p w:rsidR="007A7082" w:rsidRDefault="007A7082" w:rsidP="003D6DDA">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Besides, as revealed in one of the latest studies by Arnold (2014) concerning the role of cash holdings and bankruptcy risk, cash can help in deferring bankruptcy by providing a firm with sufficient liquidity to buffer against insolvency during difficult periods. </w:t>
      </w:r>
      <w:r w:rsidR="002D3CDC">
        <w:rPr>
          <w:rFonts w:ascii="Times New Roman" w:hAnsi="Times New Roman" w:cs="Times New Roman"/>
          <w:sz w:val="24"/>
          <w:szCs w:val="24"/>
        </w:rPr>
        <w:t>Other than bankruptcy</w:t>
      </w:r>
      <w:r w:rsidRPr="003406EC">
        <w:rPr>
          <w:rFonts w:ascii="Times New Roman" w:hAnsi="Times New Roman" w:cs="Times New Roman"/>
          <w:sz w:val="24"/>
          <w:szCs w:val="24"/>
        </w:rPr>
        <w:t xml:space="preserve"> risk, the cash-holding level is influenced by cost of capital that is incurred when there are insufficient liquid assets to finance a firm’s obligations. The increase in cost of capital burdens the cash flow, and may lead to a higher liquidity risk due to the uncertainty of cash outflow in the future. Therefore the rise in liquidity risk will lead to a higher need for holding more cash (</w:t>
      </w:r>
      <w:proofErr w:type="spellStart"/>
      <w:r w:rsidRPr="003406EC">
        <w:rPr>
          <w:rFonts w:ascii="Times New Roman" w:hAnsi="Times New Roman" w:cs="Times New Roman"/>
          <w:sz w:val="24"/>
          <w:szCs w:val="24"/>
        </w:rPr>
        <w:t>Guldimann</w:t>
      </w:r>
      <w:proofErr w:type="spellEnd"/>
      <w:r w:rsidRPr="003406EC">
        <w:rPr>
          <w:rFonts w:ascii="Times New Roman" w:hAnsi="Times New Roman" w:cs="Times New Roman"/>
          <w:sz w:val="24"/>
          <w:szCs w:val="24"/>
        </w:rPr>
        <w:t>, 1994).</w:t>
      </w:r>
    </w:p>
    <w:p w:rsidR="009E69E9" w:rsidRPr="003406EC" w:rsidRDefault="009E69E9" w:rsidP="003D6DDA">
      <w:pPr>
        <w:tabs>
          <w:tab w:val="left" w:pos="810"/>
        </w:tabs>
        <w:spacing w:after="0" w:line="240" w:lineRule="auto"/>
        <w:ind w:firstLine="720"/>
        <w:jc w:val="both"/>
        <w:rPr>
          <w:rFonts w:ascii="Times New Roman" w:hAnsi="Times New Roman" w:cs="Times New Roman"/>
          <w:sz w:val="24"/>
          <w:szCs w:val="24"/>
        </w:rPr>
      </w:pPr>
    </w:p>
    <w:p w:rsidR="007A7082" w:rsidRDefault="007A7082" w:rsidP="00A30033">
      <w:pPr>
        <w:tabs>
          <w:tab w:val="left" w:pos="810"/>
        </w:tabs>
        <w:spacing w:after="0" w:line="240" w:lineRule="auto"/>
        <w:ind w:firstLine="720"/>
        <w:jc w:val="both"/>
        <w:rPr>
          <w:rFonts w:ascii="Times New Roman" w:hAnsi="Times New Roman" w:cs="Times New Roman"/>
          <w:sz w:val="24"/>
          <w:szCs w:val="24"/>
        </w:rPr>
      </w:pPr>
      <w:proofErr w:type="spellStart"/>
      <w:r w:rsidRPr="003406EC">
        <w:rPr>
          <w:rFonts w:ascii="Times New Roman" w:hAnsi="Times New Roman" w:cs="Times New Roman"/>
          <w:sz w:val="24"/>
          <w:szCs w:val="24"/>
        </w:rPr>
        <w:lastRenderedPageBreak/>
        <w:t>Mamdouh</w:t>
      </w:r>
      <w:proofErr w:type="spellEnd"/>
      <w:r w:rsidRPr="003406EC">
        <w:rPr>
          <w:rFonts w:ascii="Times New Roman" w:hAnsi="Times New Roman" w:cs="Times New Roman"/>
          <w:sz w:val="24"/>
          <w:szCs w:val="24"/>
        </w:rPr>
        <w:t xml:space="preserve"> </w:t>
      </w:r>
      <w:r w:rsidR="00A30033">
        <w:rPr>
          <w:rFonts w:ascii="Times New Roman" w:hAnsi="Times New Roman" w:cs="Times New Roman"/>
          <w:sz w:val="24"/>
          <w:szCs w:val="24"/>
        </w:rPr>
        <w:t>(</w:t>
      </w:r>
      <w:r w:rsidRPr="003406EC">
        <w:rPr>
          <w:rFonts w:ascii="Times New Roman" w:hAnsi="Times New Roman" w:cs="Times New Roman"/>
          <w:sz w:val="24"/>
          <w:szCs w:val="24"/>
        </w:rPr>
        <w:t>2014) concluded that leveraged firms tend to minimize l</w:t>
      </w:r>
      <w:r w:rsidR="00A30033">
        <w:rPr>
          <w:rFonts w:ascii="Times New Roman" w:hAnsi="Times New Roman" w:cs="Times New Roman"/>
          <w:sz w:val="24"/>
          <w:szCs w:val="24"/>
        </w:rPr>
        <w:t>iquidity factor</w:t>
      </w:r>
      <w:r w:rsidRPr="003406EC">
        <w:rPr>
          <w:rFonts w:ascii="Times New Roman" w:hAnsi="Times New Roman" w:cs="Times New Roman"/>
          <w:sz w:val="24"/>
          <w:szCs w:val="24"/>
        </w:rPr>
        <w:t xml:space="preserve"> by controlling their cash holdings; default caused by liquidity risk is due to lack of liquidity in covering coupon payments that were due. </w:t>
      </w:r>
      <w:r w:rsidR="002D3CDC">
        <w:rPr>
          <w:rFonts w:ascii="Times New Roman" w:hAnsi="Times New Roman" w:cs="Times New Roman"/>
          <w:sz w:val="24"/>
          <w:szCs w:val="24"/>
        </w:rPr>
        <w:t>But yet, no study investigates on the external and internal risk factors on cash holdings.</w:t>
      </w:r>
      <w:r w:rsidR="00A30033">
        <w:rPr>
          <w:rFonts w:ascii="Times New Roman" w:hAnsi="Times New Roman" w:cs="Times New Roman"/>
          <w:sz w:val="24"/>
          <w:szCs w:val="24"/>
        </w:rPr>
        <w:t xml:space="preserve"> Some other research</w:t>
      </w:r>
      <w:r w:rsidR="009E69E9">
        <w:rPr>
          <w:rFonts w:ascii="Times New Roman" w:hAnsi="Times New Roman" w:cs="Times New Roman"/>
          <w:sz w:val="24"/>
          <w:szCs w:val="24"/>
        </w:rPr>
        <w:t>es</w:t>
      </w:r>
      <w:r w:rsidR="00A30033">
        <w:rPr>
          <w:rFonts w:ascii="Times New Roman" w:hAnsi="Times New Roman" w:cs="Times New Roman"/>
          <w:sz w:val="24"/>
          <w:szCs w:val="24"/>
        </w:rPr>
        <w:t xml:space="preserve"> that related </w:t>
      </w:r>
      <w:r w:rsidR="009E69E9">
        <w:rPr>
          <w:rFonts w:ascii="Times New Roman" w:hAnsi="Times New Roman" w:cs="Times New Roman"/>
          <w:sz w:val="24"/>
          <w:szCs w:val="24"/>
        </w:rPr>
        <w:t>financial ratios</w:t>
      </w:r>
      <w:r w:rsidR="00A30033">
        <w:rPr>
          <w:rFonts w:ascii="Times New Roman" w:hAnsi="Times New Roman" w:cs="Times New Roman"/>
          <w:sz w:val="24"/>
          <w:szCs w:val="24"/>
        </w:rPr>
        <w:t xml:space="preserve"> with cash</w:t>
      </w:r>
      <w:r w:rsidR="009E69E9">
        <w:rPr>
          <w:rFonts w:ascii="Times New Roman" w:hAnsi="Times New Roman" w:cs="Times New Roman"/>
          <w:sz w:val="24"/>
          <w:szCs w:val="24"/>
        </w:rPr>
        <w:t xml:space="preserve"> holdings which related with interest factor. A</w:t>
      </w:r>
      <w:r w:rsidR="00A30033">
        <w:rPr>
          <w:rFonts w:ascii="Times New Roman" w:hAnsi="Times New Roman" w:cs="Times New Roman"/>
          <w:sz w:val="24"/>
          <w:szCs w:val="24"/>
        </w:rPr>
        <w:t xml:space="preserve"> </w:t>
      </w:r>
      <w:r w:rsidR="00A30033" w:rsidRPr="003406EC">
        <w:rPr>
          <w:rFonts w:ascii="Times New Roman" w:hAnsi="Times New Roman" w:cs="Times New Roman"/>
          <w:sz w:val="24"/>
          <w:szCs w:val="24"/>
        </w:rPr>
        <w:t xml:space="preserve">firm with an interest coverage ratio of less than one is assumed to be financially distressed (Desai &amp; Jain, 1999). Firms will increase cash on hand to ensure that cash is sufficient to meet interest obligations in order to avoid becoming financially distressed. </w:t>
      </w:r>
      <w:r w:rsidR="00A30033">
        <w:rPr>
          <w:rFonts w:ascii="Times New Roman" w:hAnsi="Times New Roman" w:cs="Times New Roman"/>
          <w:sz w:val="24"/>
          <w:szCs w:val="24"/>
        </w:rPr>
        <w:t xml:space="preserve"> </w:t>
      </w:r>
    </w:p>
    <w:p w:rsidR="009E69E9" w:rsidRDefault="009E69E9" w:rsidP="00A30033">
      <w:pPr>
        <w:tabs>
          <w:tab w:val="left" w:pos="810"/>
        </w:tabs>
        <w:spacing w:after="0" w:line="240" w:lineRule="auto"/>
        <w:ind w:firstLine="720"/>
        <w:jc w:val="both"/>
        <w:rPr>
          <w:rFonts w:ascii="Times New Roman" w:hAnsi="Times New Roman" w:cs="Times New Roman"/>
          <w:sz w:val="24"/>
          <w:szCs w:val="24"/>
        </w:rPr>
      </w:pPr>
    </w:p>
    <w:p w:rsidR="009E69E9" w:rsidRDefault="009E69E9" w:rsidP="009E69E9">
      <w:pPr>
        <w:tabs>
          <w:tab w:val="left" w:pos="81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406EC">
        <w:rPr>
          <w:rFonts w:ascii="Times New Roman" w:hAnsi="Times New Roman" w:cs="Times New Roman"/>
          <w:color w:val="000000"/>
          <w:sz w:val="24"/>
          <w:szCs w:val="24"/>
        </w:rPr>
        <w:t>Macroeconomic risk factors are a broad concept encompassing fluctuations in the level of economic activity and prices (</w:t>
      </w:r>
      <w:proofErr w:type="spellStart"/>
      <w:r w:rsidRPr="003406EC">
        <w:rPr>
          <w:rFonts w:ascii="Times New Roman" w:hAnsi="Times New Roman" w:cs="Times New Roman"/>
          <w:color w:val="000000"/>
          <w:sz w:val="24"/>
          <w:szCs w:val="24"/>
        </w:rPr>
        <w:t>Oxelheim</w:t>
      </w:r>
      <w:proofErr w:type="spellEnd"/>
      <w:r w:rsidRPr="003406EC">
        <w:rPr>
          <w:rFonts w:ascii="Times New Roman" w:hAnsi="Times New Roman" w:cs="Times New Roman"/>
          <w:color w:val="000000"/>
          <w:sz w:val="24"/>
          <w:szCs w:val="24"/>
        </w:rPr>
        <w:t xml:space="preserve"> &amp; </w:t>
      </w:r>
      <w:proofErr w:type="spellStart"/>
      <w:r w:rsidRPr="003406EC">
        <w:rPr>
          <w:rFonts w:ascii="Times New Roman" w:hAnsi="Times New Roman" w:cs="Times New Roman"/>
          <w:color w:val="000000"/>
          <w:sz w:val="24"/>
          <w:szCs w:val="24"/>
        </w:rPr>
        <w:t>Wihlborg</w:t>
      </w:r>
      <w:proofErr w:type="spellEnd"/>
      <w:r w:rsidRPr="003406EC">
        <w:rPr>
          <w:rFonts w:ascii="Times New Roman" w:hAnsi="Times New Roman" w:cs="Times New Roman"/>
          <w:color w:val="000000"/>
          <w:sz w:val="24"/>
          <w:szCs w:val="24"/>
        </w:rPr>
        <w:t xml:space="preserve">, 1987). Inflation will increase the general price, including the prices of inputs (such as raw materials or labour) and consumer goods. The movements in inflation and exchange rate will affect the purchasing power of firms, thus, resulting in aggregate production and general costing on daily business transactions. As firm’s value and market capitalization are closely tied up with the movements in stock exchanges, fluctuations in the stock market will affect a firm’s decision on investment, financing and performance. </w:t>
      </w:r>
    </w:p>
    <w:p w:rsidR="009E69E9" w:rsidRDefault="009E69E9" w:rsidP="009E69E9">
      <w:pPr>
        <w:tabs>
          <w:tab w:val="left" w:pos="810"/>
        </w:tabs>
        <w:spacing w:after="0" w:line="240" w:lineRule="auto"/>
        <w:jc w:val="both"/>
        <w:rPr>
          <w:rFonts w:ascii="Times New Roman" w:hAnsi="Times New Roman" w:cs="Times New Roman"/>
          <w:color w:val="000000"/>
          <w:sz w:val="24"/>
          <w:szCs w:val="24"/>
        </w:rPr>
      </w:pPr>
    </w:p>
    <w:p w:rsidR="009E69E9" w:rsidRDefault="009E69E9" w:rsidP="009E69E9">
      <w:pPr>
        <w:tabs>
          <w:tab w:val="left" w:pos="810"/>
        </w:tabs>
        <w:autoSpaceDE w:val="0"/>
        <w:autoSpaceDN w:val="0"/>
        <w:adjustRightInd w:val="0"/>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Inflation risk is predicted to have a negative relationship with cash holdings for low-cash-firms, but is positively related with high-cash firms. Firms with exposure to relatively high inflation rates in their cost base might find it tougher to contest on price, thus increasing the challenge of business with a higher chance of defaulting. Higher inflation risk will lead to greater volatility in all financial markets. Therefore firms might hold on to more cash to makes it easier to perform current investments and buy other investments at declining prices (Refer to Chang et al., 2000; </w:t>
      </w:r>
      <w:proofErr w:type="spellStart"/>
      <w:r w:rsidRPr="003406EC">
        <w:rPr>
          <w:rFonts w:ascii="Times New Roman" w:hAnsi="Times New Roman" w:cs="Times New Roman"/>
          <w:sz w:val="24"/>
          <w:szCs w:val="24"/>
        </w:rPr>
        <w:t>Dotsey</w:t>
      </w:r>
      <w:proofErr w:type="spellEnd"/>
      <w:r w:rsidRPr="003406EC">
        <w:rPr>
          <w:rFonts w:ascii="Times New Roman" w:hAnsi="Times New Roman" w:cs="Times New Roman"/>
          <w:sz w:val="24"/>
          <w:szCs w:val="24"/>
        </w:rPr>
        <w:t xml:space="preserve"> &amp; </w:t>
      </w:r>
      <w:proofErr w:type="spellStart"/>
      <w:r w:rsidRPr="003406EC">
        <w:rPr>
          <w:rFonts w:ascii="Times New Roman" w:hAnsi="Times New Roman" w:cs="Times New Roman"/>
          <w:sz w:val="24"/>
          <w:szCs w:val="24"/>
        </w:rPr>
        <w:t>Sarte</w:t>
      </w:r>
      <w:proofErr w:type="spellEnd"/>
      <w:r w:rsidRPr="003406EC">
        <w:rPr>
          <w:rFonts w:ascii="Times New Roman" w:hAnsi="Times New Roman" w:cs="Times New Roman"/>
          <w:sz w:val="24"/>
          <w:szCs w:val="24"/>
        </w:rPr>
        <w:t>, 2000). However, some firms may prefer to invest in valuable property that continues to appreciate, rather than holding on to cash, in order to reduce the loss of value in cash during periods of high inflation.</w:t>
      </w:r>
    </w:p>
    <w:p w:rsidR="009E69E9" w:rsidRDefault="009E69E9" w:rsidP="009E69E9">
      <w:pPr>
        <w:tabs>
          <w:tab w:val="left" w:pos="810"/>
        </w:tabs>
        <w:spacing w:after="0" w:line="240" w:lineRule="auto"/>
        <w:jc w:val="both"/>
        <w:rPr>
          <w:rFonts w:ascii="Times New Roman" w:hAnsi="Times New Roman" w:cs="Times New Roman"/>
          <w:color w:val="000000"/>
          <w:sz w:val="24"/>
          <w:szCs w:val="24"/>
        </w:rPr>
      </w:pPr>
    </w:p>
    <w:p w:rsidR="009E69E9" w:rsidRPr="003406EC" w:rsidRDefault="009E69E9" w:rsidP="00A30033">
      <w:pPr>
        <w:tabs>
          <w:tab w:val="left" w:pos="810"/>
        </w:tabs>
        <w:spacing w:after="0" w:line="240" w:lineRule="auto"/>
        <w:ind w:firstLine="720"/>
        <w:jc w:val="both"/>
        <w:rPr>
          <w:rFonts w:ascii="Times New Roman" w:hAnsi="Times New Roman" w:cs="Times New Roman"/>
          <w:sz w:val="24"/>
          <w:szCs w:val="24"/>
        </w:rPr>
      </w:pPr>
    </w:p>
    <w:p w:rsidR="004116D4" w:rsidRPr="003406EC" w:rsidRDefault="004116D4" w:rsidP="003D6DDA">
      <w:pPr>
        <w:tabs>
          <w:tab w:val="left" w:pos="810"/>
        </w:tabs>
        <w:spacing w:after="0" w:line="240" w:lineRule="auto"/>
        <w:jc w:val="both"/>
        <w:rPr>
          <w:rFonts w:ascii="Times New Roman" w:hAnsi="Times New Roman" w:cs="Times New Roman"/>
          <w:sz w:val="24"/>
          <w:szCs w:val="24"/>
        </w:rPr>
      </w:pPr>
    </w:p>
    <w:p w:rsidR="004116D4" w:rsidRDefault="00B052D2"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b/>
          <w:sz w:val="24"/>
          <w:szCs w:val="24"/>
        </w:rPr>
        <w:t xml:space="preserve">3.0 </w:t>
      </w:r>
      <w:r w:rsidR="00180A10" w:rsidRPr="003406EC">
        <w:rPr>
          <w:rFonts w:ascii="Times New Roman" w:hAnsi="Times New Roman" w:cs="Times New Roman"/>
          <w:b/>
          <w:sz w:val="24"/>
          <w:szCs w:val="24"/>
        </w:rPr>
        <w:t>Data and Methodology</w:t>
      </w:r>
      <w:r w:rsidRPr="003406EC">
        <w:rPr>
          <w:rFonts w:ascii="Times New Roman" w:hAnsi="Times New Roman" w:cs="Times New Roman"/>
          <w:sz w:val="24"/>
          <w:szCs w:val="24"/>
        </w:rPr>
        <w:tab/>
      </w:r>
    </w:p>
    <w:p w:rsidR="002D3CDC" w:rsidRDefault="002D3CDC" w:rsidP="003D6DDA">
      <w:pPr>
        <w:tabs>
          <w:tab w:val="left" w:pos="810"/>
        </w:tabs>
        <w:spacing w:after="0" w:line="240" w:lineRule="auto"/>
        <w:jc w:val="both"/>
        <w:rPr>
          <w:rFonts w:ascii="Times New Roman" w:hAnsi="Times New Roman" w:cs="Times New Roman"/>
          <w:b/>
          <w:sz w:val="24"/>
          <w:szCs w:val="24"/>
        </w:rPr>
      </w:pPr>
    </w:p>
    <w:p w:rsidR="009E69E9" w:rsidRPr="003406EC" w:rsidRDefault="009E69E9" w:rsidP="003D6DDA">
      <w:pPr>
        <w:tabs>
          <w:tab w:val="left" w:pos="810"/>
        </w:tabs>
        <w:spacing w:after="0" w:line="240" w:lineRule="auto"/>
        <w:jc w:val="both"/>
        <w:rPr>
          <w:rFonts w:ascii="Times New Roman" w:hAnsi="Times New Roman" w:cs="Times New Roman"/>
          <w:b/>
          <w:sz w:val="24"/>
          <w:szCs w:val="24"/>
        </w:rPr>
      </w:pPr>
    </w:p>
    <w:p w:rsidR="00A30033" w:rsidRPr="003E4AB5" w:rsidRDefault="00A30033" w:rsidP="00A30033">
      <w:pPr>
        <w:tabs>
          <w:tab w:val="left" w:pos="810"/>
        </w:tabs>
        <w:spacing w:after="0" w:line="240" w:lineRule="auto"/>
        <w:ind w:firstLine="720"/>
        <w:jc w:val="both"/>
        <w:rPr>
          <w:rFonts w:ascii="Times New Roman" w:hAnsi="Times New Roman" w:cs="Times New Roman"/>
          <w:color w:val="000000"/>
          <w:sz w:val="24"/>
          <w:szCs w:val="24"/>
        </w:rPr>
      </w:pPr>
      <w:r w:rsidRPr="003E4AB5">
        <w:rPr>
          <w:rFonts w:ascii="Times New Roman" w:hAnsi="Times New Roman" w:cs="Times New Roman"/>
          <w:sz w:val="24"/>
          <w:szCs w:val="24"/>
        </w:rPr>
        <w:t>This study analyses the secondary and quantitative data of listed firms in the Korean Stock Exchange (</w:t>
      </w:r>
      <w:r>
        <w:rPr>
          <w:rFonts w:ascii="Times New Roman" w:hAnsi="Times New Roman" w:cs="Times New Roman"/>
          <w:sz w:val="24"/>
          <w:szCs w:val="24"/>
        </w:rPr>
        <w:t>Korea Exchange</w:t>
      </w:r>
      <w:r w:rsidRPr="003E4AB5">
        <w:rPr>
          <w:rFonts w:ascii="Times New Roman" w:hAnsi="Times New Roman" w:cs="Times New Roman"/>
          <w:sz w:val="24"/>
          <w:szCs w:val="24"/>
        </w:rPr>
        <w:t xml:space="preserve">) and Bursa </w:t>
      </w:r>
      <w:r>
        <w:rPr>
          <w:rFonts w:ascii="Times New Roman" w:hAnsi="Times New Roman" w:cs="Times New Roman"/>
          <w:sz w:val="24"/>
          <w:szCs w:val="24"/>
        </w:rPr>
        <w:t xml:space="preserve">Malaysia. </w:t>
      </w:r>
      <w:r w:rsidRPr="003E4AB5">
        <w:rPr>
          <w:rFonts w:ascii="Times New Roman" w:hAnsi="Times New Roman" w:cs="Times New Roman"/>
          <w:color w:val="000000"/>
          <w:sz w:val="24"/>
          <w:szCs w:val="24"/>
        </w:rPr>
        <w:t>The time period of this study started from year 2000 to 2012; therefore listed firms in these two selected Asian countries operating during the study period and fulfilling certain criteria a</w:t>
      </w:r>
      <w:r>
        <w:rPr>
          <w:rFonts w:ascii="Times New Roman" w:hAnsi="Times New Roman" w:cs="Times New Roman"/>
          <w:color w:val="000000"/>
          <w:sz w:val="24"/>
          <w:szCs w:val="24"/>
        </w:rPr>
        <w:t xml:space="preserve">re taken as part of the sample. </w:t>
      </w:r>
      <w:r w:rsidRPr="003E4AB5">
        <w:rPr>
          <w:rFonts w:ascii="Times New Roman" w:hAnsi="Times New Roman" w:cs="Times New Roman"/>
          <w:color w:val="000000"/>
          <w:sz w:val="24"/>
          <w:szCs w:val="24"/>
        </w:rPr>
        <w:t>The financial and utility industries are excluded from the sample as the role and value of cash in these industries differ from other industries. Financial firms are excluded from the sample because of the unique role that cash plays for financial institutions and banks. Utilities are also excluded because they are regulated and should have a small differential between the costs of internal and external funds. The financial data and market data of each listed firm are collected from the Data</w:t>
      </w:r>
      <w:r>
        <w:rPr>
          <w:rFonts w:ascii="Times New Roman" w:hAnsi="Times New Roman" w:cs="Times New Roman"/>
          <w:color w:val="000000"/>
          <w:sz w:val="24"/>
          <w:szCs w:val="24"/>
        </w:rPr>
        <w:t xml:space="preserve"> </w:t>
      </w:r>
      <w:r w:rsidRPr="003E4AB5">
        <w:rPr>
          <w:rFonts w:ascii="Times New Roman" w:hAnsi="Times New Roman" w:cs="Times New Roman"/>
          <w:color w:val="000000"/>
          <w:sz w:val="24"/>
          <w:szCs w:val="24"/>
        </w:rPr>
        <w:t xml:space="preserve">stream database and the S&amp;P capital IQ dataset. In the meantime, the macroeconomic variables’ data are collected from the Department of Statistics and from the World Bank’s database. Data of firms that are outliers and those that are missing are excluded from the study. The outlier is estimated as the 5 per cent of the bottom and top of the sample. Any listed firms that fail to offer </w:t>
      </w:r>
      <w:r w:rsidRPr="003E4AB5">
        <w:rPr>
          <w:rFonts w:ascii="Times New Roman" w:hAnsi="Times New Roman" w:cs="Times New Roman"/>
          <w:color w:val="000000"/>
          <w:sz w:val="24"/>
          <w:szCs w:val="24"/>
        </w:rPr>
        <w:lastRenderedPageBreak/>
        <w:t xml:space="preserve">continuous data that are less than 5 years are deleted from the sample. This tight screening process reduces the sample sizes of </w:t>
      </w:r>
      <w:r>
        <w:rPr>
          <w:rFonts w:ascii="Times New Roman" w:hAnsi="Times New Roman" w:cs="Times New Roman"/>
          <w:color w:val="000000"/>
          <w:sz w:val="24"/>
          <w:szCs w:val="24"/>
        </w:rPr>
        <w:t>Korea Exchange</w:t>
      </w:r>
      <w:r w:rsidRPr="003E4AB5">
        <w:rPr>
          <w:rFonts w:ascii="Times New Roman" w:hAnsi="Times New Roman" w:cs="Times New Roman"/>
          <w:color w:val="000000"/>
          <w:sz w:val="24"/>
          <w:szCs w:val="24"/>
        </w:rPr>
        <w:t xml:space="preserve"> (from three thousands plus to around eight hundreds firms) and Bursa Malaysia (from one thousand plus to around 5 hundreds firms)</w:t>
      </w:r>
    </w:p>
    <w:p w:rsidR="00F56990" w:rsidRPr="003406EC" w:rsidRDefault="00F56990" w:rsidP="00A65E2C">
      <w:pPr>
        <w:tabs>
          <w:tab w:val="left" w:pos="810"/>
        </w:tabs>
        <w:spacing w:after="0" w:line="240" w:lineRule="auto"/>
        <w:jc w:val="both"/>
        <w:rPr>
          <w:rFonts w:ascii="Times New Roman" w:hAnsi="Times New Roman" w:cs="Times New Roman"/>
          <w:sz w:val="24"/>
          <w:szCs w:val="24"/>
        </w:rPr>
      </w:pPr>
    </w:p>
    <w:p w:rsidR="004116D4" w:rsidRPr="003406EC" w:rsidRDefault="004116D4" w:rsidP="003D6DDA">
      <w:pPr>
        <w:tabs>
          <w:tab w:val="left" w:pos="810"/>
        </w:tabs>
        <w:spacing w:after="0" w:line="240" w:lineRule="auto"/>
        <w:ind w:firstLine="720"/>
        <w:jc w:val="both"/>
        <w:rPr>
          <w:rFonts w:ascii="Times New Roman" w:eastAsia="Times New Roman" w:hAnsi="Times New Roman" w:cs="Times New Roman"/>
          <w:bCs/>
          <w:color w:val="000000"/>
          <w:sz w:val="24"/>
          <w:szCs w:val="24"/>
        </w:rPr>
      </w:pPr>
      <w:r w:rsidRPr="003406EC">
        <w:rPr>
          <w:rFonts w:ascii="Times New Roman" w:eastAsia="Times New Roman" w:hAnsi="Times New Roman" w:cs="Times New Roman"/>
          <w:bCs/>
          <w:color w:val="000000"/>
          <w:sz w:val="24"/>
          <w:szCs w:val="24"/>
        </w:rPr>
        <w:t xml:space="preserve">Panel regression is separated into two models </w:t>
      </w:r>
      <w:r w:rsidRPr="003406EC">
        <w:rPr>
          <w:rFonts w:ascii="Times New Roman" w:hAnsi="Times New Roman" w:cs="Times New Roman"/>
          <w:sz w:val="24"/>
          <w:szCs w:val="24"/>
        </w:rPr>
        <w:t xml:space="preserve">which indicate the effects of financial ratio and risk factors on cash holdings over the fiscal year. </w:t>
      </w:r>
      <w:r w:rsidR="00F56990">
        <w:rPr>
          <w:rFonts w:ascii="Times New Roman" w:hAnsi="Times New Roman" w:cs="Times New Roman"/>
          <w:sz w:val="24"/>
          <w:szCs w:val="24"/>
        </w:rPr>
        <w:t xml:space="preserve">The equation in Model 1 </w:t>
      </w:r>
      <w:proofErr w:type="gramStart"/>
      <w:r w:rsidRPr="003406EC">
        <w:rPr>
          <w:rFonts w:ascii="Times New Roman" w:hAnsi="Times New Roman" w:cs="Times New Roman"/>
          <w:sz w:val="24"/>
          <w:szCs w:val="24"/>
        </w:rPr>
        <w:t>regresses</w:t>
      </w:r>
      <w:proofErr w:type="gramEnd"/>
      <w:r w:rsidRPr="003406EC">
        <w:rPr>
          <w:rFonts w:ascii="Times New Roman" w:hAnsi="Times New Roman" w:cs="Times New Roman"/>
          <w:sz w:val="24"/>
          <w:szCs w:val="24"/>
        </w:rPr>
        <w:t xml:space="preserve"> cash holdings on internal factors, including liquidity factor (LF), repayment ability factor (RAF) and solvency factor (SF). The macroeconomic risk factors such as inflation risk (</w:t>
      </w:r>
      <w:proofErr w:type="spellStart"/>
      <w:r w:rsidRPr="003406EC">
        <w:rPr>
          <w:rFonts w:ascii="Times New Roman" w:hAnsi="Times New Roman" w:cs="Times New Roman"/>
          <w:sz w:val="24"/>
          <w:szCs w:val="24"/>
        </w:rPr>
        <w:t>InfR</w:t>
      </w:r>
      <w:proofErr w:type="spellEnd"/>
      <w:r w:rsidRPr="003406EC">
        <w:rPr>
          <w:rFonts w:ascii="Times New Roman" w:hAnsi="Times New Roman" w:cs="Times New Roman"/>
          <w:sz w:val="24"/>
          <w:szCs w:val="24"/>
        </w:rPr>
        <w:t>) and currency r</w:t>
      </w:r>
      <w:r w:rsidR="00F56990">
        <w:rPr>
          <w:rFonts w:ascii="Times New Roman" w:hAnsi="Times New Roman" w:cs="Times New Roman"/>
          <w:sz w:val="24"/>
          <w:szCs w:val="24"/>
        </w:rPr>
        <w:t xml:space="preserve">isk (CR) are added into Model </w:t>
      </w:r>
      <w:r w:rsidRPr="003406EC">
        <w:rPr>
          <w:rFonts w:ascii="Times New Roman" w:hAnsi="Times New Roman" w:cs="Times New Roman"/>
          <w:sz w:val="24"/>
          <w:szCs w:val="24"/>
        </w:rPr>
        <w:t xml:space="preserve">2. </w:t>
      </w:r>
      <w:r w:rsidRPr="003406EC">
        <w:rPr>
          <w:rFonts w:ascii="Times New Roman" w:eastAsia="Times New Roman" w:hAnsi="Times New Roman" w:cs="Times New Roman"/>
          <w:bCs/>
          <w:color w:val="000000"/>
          <w:sz w:val="24"/>
          <w:szCs w:val="24"/>
        </w:rPr>
        <w:t>The function of cash holdings and control variables can be written in simple general forms as follows:</w:t>
      </w:r>
    </w:p>
    <w:p w:rsidR="004116D4" w:rsidRPr="003406EC" w:rsidRDefault="004116D4" w:rsidP="003D6DDA">
      <w:pPr>
        <w:tabs>
          <w:tab w:val="left" w:pos="810"/>
        </w:tabs>
        <w:spacing w:after="0" w:line="240" w:lineRule="auto"/>
        <w:jc w:val="both"/>
        <w:rPr>
          <w:rFonts w:ascii="Times New Roman" w:eastAsia="Times New Roman" w:hAnsi="Times New Roman" w:cs="Times New Roman"/>
          <w:bCs/>
          <w:color w:val="000000"/>
          <w:sz w:val="24"/>
          <w:szCs w:val="24"/>
        </w:rPr>
      </w:pPr>
    </w:p>
    <w:p w:rsidR="004116D4" w:rsidRPr="003406EC" w:rsidRDefault="004116D4" w:rsidP="003D6DDA">
      <w:pPr>
        <w:tabs>
          <w:tab w:val="left" w:pos="810"/>
        </w:tabs>
        <w:spacing w:after="0" w:line="240" w:lineRule="auto"/>
        <w:jc w:val="both"/>
        <w:rPr>
          <w:rFonts w:ascii="Times New Roman" w:eastAsia="Times New Roman" w:hAnsi="Times New Roman" w:cs="Times New Roman"/>
          <w:bCs/>
          <w:color w:val="000000"/>
          <w:sz w:val="24"/>
          <w:szCs w:val="24"/>
        </w:rPr>
      </w:pPr>
      <w:r w:rsidRPr="003406EC">
        <w:rPr>
          <w:rFonts w:ascii="Times New Roman" w:eastAsia="Times New Roman" w:hAnsi="Times New Roman" w:cs="Times New Roman"/>
          <w:bCs/>
          <w:color w:val="000000"/>
          <w:sz w:val="24"/>
          <w:szCs w:val="24"/>
        </w:rPr>
        <w:t xml:space="preserve">Cash ratio = f (LF, RAF, SF) </w:t>
      </w:r>
      <w:r w:rsidRPr="003406EC">
        <w:rPr>
          <w:rFonts w:ascii="Times New Roman" w:eastAsia="Times New Roman" w:hAnsi="Times New Roman" w:cs="Times New Roman"/>
          <w:bCs/>
          <w:color w:val="000000"/>
          <w:sz w:val="24"/>
          <w:szCs w:val="24"/>
        </w:rPr>
        <w:tab/>
      </w:r>
      <w:r w:rsidRPr="003406EC">
        <w:rPr>
          <w:rFonts w:ascii="Times New Roman" w:eastAsia="Times New Roman" w:hAnsi="Times New Roman" w:cs="Times New Roman"/>
          <w:bCs/>
          <w:color w:val="000000"/>
          <w:sz w:val="24"/>
          <w:szCs w:val="24"/>
        </w:rPr>
        <w:tab/>
      </w:r>
      <w:r w:rsidRPr="003406EC">
        <w:rPr>
          <w:rFonts w:ascii="Times New Roman" w:eastAsia="Times New Roman" w:hAnsi="Times New Roman" w:cs="Times New Roman"/>
          <w:bCs/>
          <w:color w:val="000000"/>
          <w:sz w:val="24"/>
          <w:szCs w:val="24"/>
        </w:rPr>
        <w:tab/>
      </w:r>
      <w:r w:rsidRPr="003406EC">
        <w:rPr>
          <w:rFonts w:ascii="Times New Roman" w:eastAsia="Times New Roman" w:hAnsi="Times New Roman" w:cs="Times New Roman"/>
          <w:bCs/>
          <w:color w:val="000000"/>
          <w:sz w:val="24"/>
          <w:szCs w:val="24"/>
        </w:rPr>
        <w:tab/>
      </w:r>
      <w:r w:rsidRPr="003406EC">
        <w:rPr>
          <w:rFonts w:ascii="Times New Roman" w:eastAsia="Times New Roman" w:hAnsi="Times New Roman" w:cs="Times New Roman"/>
          <w:bCs/>
          <w:color w:val="000000"/>
          <w:sz w:val="24"/>
          <w:szCs w:val="24"/>
        </w:rPr>
        <w:tab/>
      </w:r>
      <w:r w:rsidR="00A30033">
        <w:rPr>
          <w:rFonts w:ascii="Times New Roman" w:eastAsia="Times New Roman" w:hAnsi="Times New Roman" w:cs="Times New Roman"/>
          <w:bCs/>
          <w:color w:val="000000"/>
          <w:sz w:val="24"/>
          <w:szCs w:val="24"/>
        </w:rPr>
        <w:tab/>
      </w:r>
      <w:r w:rsidRPr="003406EC">
        <w:rPr>
          <w:rFonts w:ascii="Times New Roman" w:eastAsia="Times New Roman" w:hAnsi="Times New Roman" w:cs="Times New Roman"/>
          <w:bCs/>
          <w:color w:val="000000"/>
          <w:sz w:val="24"/>
          <w:szCs w:val="24"/>
        </w:rPr>
        <w:tab/>
        <w:t>(M</w:t>
      </w:r>
      <w:r w:rsidR="00F56990">
        <w:rPr>
          <w:rFonts w:ascii="Times New Roman" w:eastAsia="Times New Roman" w:hAnsi="Times New Roman" w:cs="Times New Roman"/>
          <w:bCs/>
          <w:color w:val="000000"/>
          <w:sz w:val="24"/>
          <w:szCs w:val="24"/>
        </w:rPr>
        <w:t xml:space="preserve">odel </w:t>
      </w:r>
      <w:r w:rsidRPr="003406EC">
        <w:rPr>
          <w:rFonts w:ascii="Times New Roman" w:eastAsia="Times New Roman" w:hAnsi="Times New Roman" w:cs="Times New Roman"/>
          <w:bCs/>
          <w:color w:val="000000"/>
          <w:sz w:val="24"/>
          <w:szCs w:val="24"/>
        </w:rPr>
        <w:t>1)</w:t>
      </w:r>
    </w:p>
    <w:p w:rsidR="004116D4" w:rsidRDefault="004116D4" w:rsidP="003D6DDA">
      <w:pPr>
        <w:tabs>
          <w:tab w:val="left" w:pos="810"/>
        </w:tabs>
        <w:spacing w:after="0" w:line="240" w:lineRule="auto"/>
        <w:jc w:val="both"/>
        <w:rPr>
          <w:rFonts w:ascii="Times New Roman" w:eastAsia="Times New Roman" w:hAnsi="Times New Roman" w:cs="Times New Roman"/>
          <w:bCs/>
          <w:color w:val="000000"/>
          <w:sz w:val="24"/>
          <w:szCs w:val="24"/>
        </w:rPr>
      </w:pPr>
      <w:r w:rsidRPr="003406EC">
        <w:rPr>
          <w:rFonts w:ascii="Times New Roman" w:eastAsia="Times New Roman" w:hAnsi="Times New Roman" w:cs="Times New Roman"/>
          <w:bCs/>
          <w:color w:val="000000"/>
          <w:sz w:val="24"/>
          <w:szCs w:val="24"/>
        </w:rPr>
        <w:t>Cash ratio = f (LF,</w:t>
      </w:r>
      <w:r w:rsidR="00F56990">
        <w:rPr>
          <w:rFonts w:ascii="Times New Roman" w:eastAsia="Times New Roman" w:hAnsi="Times New Roman" w:cs="Times New Roman"/>
          <w:bCs/>
          <w:color w:val="000000"/>
          <w:sz w:val="24"/>
          <w:szCs w:val="24"/>
        </w:rPr>
        <w:t xml:space="preserve"> RAF, SF, </w:t>
      </w:r>
      <w:proofErr w:type="spellStart"/>
      <w:r w:rsidR="00F56990">
        <w:rPr>
          <w:rFonts w:ascii="Times New Roman" w:eastAsia="Times New Roman" w:hAnsi="Times New Roman" w:cs="Times New Roman"/>
          <w:bCs/>
          <w:color w:val="000000"/>
          <w:sz w:val="24"/>
          <w:szCs w:val="24"/>
        </w:rPr>
        <w:t>InfR</w:t>
      </w:r>
      <w:proofErr w:type="spellEnd"/>
      <w:r w:rsidR="00F56990">
        <w:rPr>
          <w:rFonts w:ascii="Times New Roman" w:eastAsia="Times New Roman" w:hAnsi="Times New Roman" w:cs="Times New Roman"/>
          <w:bCs/>
          <w:color w:val="000000"/>
          <w:sz w:val="24"/>
          <w:szCs w:val="24"/>
        </w:rPr>
        <w:t>, CR)</w:t>
      </w:r>
      <w:r w:rsidR="00F56990">
        <w:rPr>
          <w:rFonts w:ascii="Times New Roman" w:eastAsia="Times New Roman" w:hAnsi="Times New Roman" w:cs="Times New Roman"/>
          <w:bCs/>
          <w:color w:val="000000"/>
          <w:sz w:val="24"/>
          <w:szCs w:val="24"/>
        </w:rPr>
        <w:tab/>
      </w:r>
      <w:r w:rsidR="00F56990">
        <w:rPr>
          <w:rFonts w:ascii="Times New Roman" w:eastAsia="Times New Roman" w:hAnsi="Times New Roman" w:cs="Times New Roman"/>
          <w:bCs/>
          <w:color w:val="000000"/>
          <w:sz w:val="24"/>
          <w:szCs w:val="24"/>
        </w:rPr>
        <w:tab/>
      </w:r>
      <w:r w:rsidR="00F56990">
        <w:rPr>
          <w:rFonts w:ascii="Times New Roman" w:eastAsia="Times New Roman" w:hAnsi="Times New Roman" w:cs="Times New Roman"/>
          <w:bCs/>
          <w:color w:val="000000"/>
          <w:sz w:val="24"/>
          <w:szCs w:val="24"/>
        </w:rPr>
        <w:tab/>
      </w:r>
      <w:r w:rsidR="00A30033">
        <w:rPr>
          <w:rFonts w:ascii="Times New Roman" w:eastAsia="Times New Roman" w:hAnsi="Times New Roman" w:cs="Times New Roman"/>
          <w:bCs/>
          <w:color w:val="000000"/>
          <w:sz w:val="24"/>
          <w:szCs w:val="24"/>
        </w:rPr>
        <w:tab/>
      </w:r>
      <w:r w:rsidR="00F56990">
        <w:rPr>
          <w:rFonts w:ascii="Times New Roman" w:eastAsia="Times New Roman" w:hAnsi="Times New Roman" w:cs="Times New Roman"/>
          <w:bCs/>
          <w:color w:val="000000"/>
          <w:sz w:val="24"/>
          <w:szCs w:val="24"/>
        </w:rPr>
        <w:tab/>
        <w:t xml:space="preserve">(Model </w:t>
      </w:r>
      <w:r w:rsidRPr="003406EC">
        <w:rPr>
          <w:rFonts w:ascii="Times New Roman" w:eastAsia="Times New Roman" w:hAnsi="Times New Roman" w:cs="Times New Roman"/>
          <w:bCs/>
          <w:color w:val="000000"/>
          <w:sz w:val="24"/>
          <w:szCs w:val="24"/>
        </w:rPr>
        <w:t>2)</w:t>
      </w:r>
    </w:p>
    <w:p w:rsidR="00F56990" w:rsidRPr="003406EC" w:rsidRDefault="00F56990" w:rsidP="003D6DDA">
      <w:pPr>
        <w:tabs>
          <w:tab w:val="left" w:pos="810"/>
        </w:tabs>
        <w:spacing w:after="0" w:line="240" w:lineRule="auto"/>
        <w:jc w:val="both"/>
        <w:rPr>
          <w:rFonts w:ascii="Times New Roman" w:eastAsia="Times New Roman" w:hAnsi="Times New Roman" w:cs="Times New Roman"/>
          <w:bCs/>
          <w:color w:val="000000"/>
          <w:sz w:val="24"/>
          <w:szCs w:val="24"/>
        </w:rPr>
      </w:pPr>
    </w:p>
    <w:p w:rsidR="00F56990" w:rsidRDefault="004116D4" w:rsidP="00F56990">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The use of the GMM estimator by Arellano &amp; Bond (1991) is practical, and a general method used in solving the dilemma related to the dynamic panel data model, where there exist some precise estimation problems due to the presence of lagged dependent variables on the right hand side of the equation; this problem has a high probability of occurring when examining the objectives of this study. The potential problems might lead to an upward bias of the estimates of the OLS regression analysis, where the error term by definition is corrected with one of the </w:t>
      </w:r>
      <w:proofErr w:type="spellStart"/>
      <w:r w:rsidRPr="003406EC">
        <w:rPr>
          <w:rFonts w:ascii="Times New Roman" w:hAnsi="Times New Roman" w:cs="Times New Roman"/>
          <w:sz w:val="24"/>
          <w:szCs w:val="24"/>
        </w:rPr>
        <w:t>regressors</w:t>
      </w:r>
      <w:proofErr w:type="spellEnd"/>
      <w:r w:rsidRPr="003406EC">
        <w:rPr>
          <w:rFonts w:ascii="Times New Roman" w:hAnsi="Times New Roman" w:cs="Times New Roman"/>
          <w:sz w:val="24"/>
          <w:szCs w:val="24"/>
        </w:rPr>
        <w:t xml:space="preserve"> (Bond, 2002).</w:t>
      </w:r>
    </w:p>
    <w:p w:rsidR="00F56990" w:rsidRDefault="00F56990" w:rsidP="00F56990">
      <w:pPr>
        <w:tabs>
          <w:tab w:val="left" w:pos="810"/>
        </w:tabs>
        <w:spacing w:after="0" w:line="240" w:lineRule="auto"/>
        <w:ind w:firstLine="720"/>
        <w:jc w:val="both"/>
        <w:rPr>
          <w:rFonts w:ascii="Times New Roman" w:hAnsi="Times New Roman" w:cs="Times New Roman"/>
          <w:sz w:val="24"/>
          <w:szCs w:val="24"/>
        </w:rPr>
      </w:pPr>
    </w:p>
    <w:p w:rsidR="00A30033" w:rsidRPr="009E69E9" w:rsidRDefault="00F56990" w:rsidP="009E69E9">
      <w:pPr>
        <w:tabs>
          <w:tab w:val="left" w:pos="810"/>
        </w:tabs>
        <w:spacing w:after="0" w:line="240" w:lineRule="auto"/>
        <w:ind w:firstLine="720"/>
        <w:jc w:val="both"/>
        <w:rPr>
          <w:rFonts w:ascii="Times New Roman" w:eastAsia="Times New Roman" w:hAnsi="Times New Roman" w:cs="Times New Roman"/>
          <w:bCs/>
          <w:color w:val="000000"/>
          <w:sz w:val="24"/>
          <w:szCs w:val="24"/>
        </w:rPr>
      </w:pPr>
      <w:r w:rsidRPr="00F56990">
        <w:rPr>
          <w:rFonts w:ascii="Times New Roman" w:eastAsia="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The cash level </w:t>
      </w:r>
      <w:r w:rsidRPr="003406EC">
        <w:rPr>
          <w:rFonts w:ascii="Times New Roman" w:hAnsi="Times New Roman" w:cs="Times New Roman"/>
          <w:color w:val="000000"/>
          <w:sz w:val="24"/>
          <w:szCs w:val="24"/>
        </w:rPr>
        <w:t xml:space="preserve">is measured by cash and its equivalents over total assets minus cash. </w:t>
      </w:r>
      <w:r w:rsidR="00B96D54">
        <w:rPr>
          <w:rFonts w:ascii="Times New Roman" w:hAnsi="Times New Roman" w:cs="Times New Roman"/>
          <w:color w:val="000000"/>
          <w:sz w:val="24"/>
          <w:szCs w:val="24"/>
        </w:rPr>
        <w:t>The average of firm’s cash ratio is more than 25% is considered as high cash holdings firm and otherwise (</w:t>
      </w:r>
      <w:proofErr w:type="spellStart"/>
      <w:r w:rsidR="00B96D54">
        <w:rPr>
          <w:rFonts w:ascii="Times New Roman" w:hAnsi="Times New Roman" w:cs="Times New Roman"/>
          <w:sz w:val="24"/>
          <w:szCs w:val="24"/>
        </w:rPr>
        <w:t>Mikkelson</w:t>
      </w:r>
      <w:proofErr w:type="spellEnd"/>
      <w:r w:rsidR="00B96D54">
        <w:rPr>
          <w:rFonts w:ascii="Times New Roman" w:hAnsi="Times New Roman" w:cs="Times New Roman"/>
          <w:sz w:val="24"/>
          <w:szCs w:val="24"/>
        </w:rPr>
        <w:t xml:space="preserve"> &amp;</w:t>
      </w:r>
      <w:r w:rsidR="00B96D54" w:rsidRPr="00D13E4C">
        <w:rPr>
          <w:rFonts w:ascii="Times New Roman" w:hAnsi="Times New Roman" w:cs="Times New Roman"/>
          <w:sz w:val="24"/>
          <w:szCs w:val="24"/>
        </w:rPr>
        <w:t xml:space="preserve"> </w:t>
      </w:r>
      <w:proofErr w:type="spellStart"/>
      <w:r w:rsidR="00B96D54" w:rsidRPr="00D13E4C">
        <w:rPr>
          <w:rFonts w:ascii="Times New Roman" w:hAnsi="Times New Roman" w:cs="Times New Roman"/>
          <w:sz w:val="24"/>
          <w:szCs w:val="24"/>
        </w:rPr>
        <w:t>Partch</w:t>
      </w:r>
      <w:proofErr w:type="spellEnd"/>
      <w:r w:rsidR="00B96D54">
        <w:rPr>
          <w:rFonts w:ascii="Times New Roman" w:hAnsi="Times New Roman" w:cs="Times New Roman"/>
          <w:sz w:val="24"/>
          <w:szCs w:val="24"/>
        </w:rPr>
        <w:t xml:space="preserve">, </w:t>
      </w:r>
      <w:r w:rsidR="00B96D54" w:rsidRPr="00D13E4C">
        <w:rPr>
          <w:rFonts w:ascii="Times New Roman" w:hAnsi="Times New Roman" w:cs="Times New Roman"/>
          <w:sz w:val="24"/>
          <w:szCs w:val="24"/>
        </w:rPr>
        <w:t>2003)</w:t>
      </w:r>
      <w:r w:rsidR="00B96D54">
        <w:rPr>
          <w:rFonts w:ascii="Times New Roman" w:hAnsi="Times New Roman" w:cs="Times New Roman"/>
          <w:sz w:val="24"/>
          <w:szCs w:val="24"/>
        </w:rPr>
        <w:t>.</w:t>
      </w:r>
      <w:r w:rsidR="00B96D54">
        <w:rPr>
          <w:rFonts w:ascii="Times New Roman" w:hAnsi="Times New Roman" w:cs="Times New Roman"/>
          <w:color w:val="000000"/>
          <w:sz w:val="24"/>
          <w:szCs w:val="24"/>
        </w:rPr>
        <w:t xml:space="preserve"> </w:t>
      </w:r>
      <w:r w:rsidRPr="003406EC">
        <w:rPr>
          <w:rFonts w:ascii="Times New Roman" w:eastAsia="Times New Roman" w:hAnsi="Times New Roman" w:cs="Times New Roman"/>
          <w:bCs/>
          <w:color w:val="000000"/>
          <w:sz w:val="24"/>
          <w:szCs w:val="24"/>
        </w:rPr>
        <w:t>The justification and expected signs of each financial ratios an</w:t>
      </w:r>
      <w:r>
        <w:rPr>
          <w:rFonts w:ascii="Times New Roman" w:eastAsia="Times New Roman" w:hAnsi="Times New Roman" w:cs="Times New Roman"/>
          <w:bCs/>
          <w:color w:val="000000"/>
          <w:sz w:val="24"/>
          <w:szCs w:val="24"/>
        </w:rPr>
        <w:t>d risk factor are clarified in the section 3.1 and 3.2</w:t>
      </w:r>
      <w:r w:rsidRPr="003406EC">
        <w:rPr>
          <w:rFonts w:ascii="Times New Roman" w:eastAsia="Times New Roman" w:hAnsi="Times New Roman" w:cs="Times New Roman"/>
          <w:bCs/>
          <w:color w:val="000000"/>
          <w:sz w:val="24"/>
          <w:szCs w:val="24"/>
        </w:rPr>
        <w:t>.</w:t>
      </w:r>
    </w:p>
    <w:p w:rsidR="00A30033" w:rsidRDefault="00A30033" w:rsidP="003D6DDA">
      <w:pPr>
        <w:tabs>
          <w:tab w:val="left" w:pos="810"/>
        </w:tabs>
        <w:spacing w:after="0" w:line="240" w:lineRule="auto"/>
        <w:ind w:firstLine="720"/>
        <w:jc w:val="both"/>
        <w:rPr>
          <w:rFonts w:ascii="Times New Roman" w:hAnsi="Times New Roman" w:cs="Times New Roman"/>
          <w:sz w:val="24"/>
          <w:szCs w:val="24"/>
        </w:rPr>
      </w:pPr>
    </w:p>
    <w:p w:rsidR="00E67992" w:rsidRDefault="00E67992" w:rsidP="003D6DDA">
      <w:pPr>
        <w:tabs>
          <w:tab w:val="left" w:pos="810"/>
        </w:tabs>
        <w:spacing w:after="0" w:line="240" w:lineRule="auto"/>
        <w:ind w:firstLine="720"/>
        <w:jc w:val="both"/>
        <w:rPr>
          <w:rFonts w:ascii="Times New Roman" w:hAnsi="Times New Roman" w:cs="Times New Roman"/>
          <w:sz w:val="24"/>
          <w:szCs w:val="24"/>
        </w:rPr>
      </w:pPr>
    </w:p>
    <w:p w:rsidR="009E69E9" w:rsidRPr="003406EC" w:rsidRDefault="009E69E9" w:rsidP="003D6DDA">
      <w:pPr>
        <w:tabs>
          <w:tab w:val="left" w:pos="810"/>
        </w:tabs>
        <w:spacing w:after="0" w:line="240" w:lineRule="auto"/>
        <w:ind w:firstLine="720"/>
        <w:jc w:val="both"/>
        <w:rPr>
          <w:rFonts w:ascii="Times New Roman" w:hAnsi="Times New Roman" w:cs="Times New Roman"/>
          <w:sz w:val="24"/>
          <w:szCs w:val="24"/>
        </w:rPr>
      </w:pPr>
    </w:p>
    <w:p w:rsidR="004116D4" w:rsidRDefault="00625A84" w:rsidP="003D6DDA">
      <w:pPr>
        <w:tabs>
          <w:tab w:val="left" w:pos="810"/>
        </w:tabs>
        <w:autoSpaceDE w:val="0"/>
        <w:autoSpaceDN w:val="0"/>
        <w:adjustRightInd w:val="0"/>
        <w:spacing w:after="0" w:line="240" w:lineRule="auto"/>
        <w:jc w:val="both"/>
        <w:rPr>
          <w:rFonts w:ascii="Times New Roman" w:hAnsi="Times New Roman" w:cs="Times New Roman"/>
          <w:b/>
          <w:sz w:val="24"/>
          <w:szCs w:val="24"/>
        </w:rPr>
      </w:pPr>
      <w:r w:rsidRPr="003406EC">
        <w:rPr>
          <w:rFonts w:ascii="Times New Roman" w:hAnsi="Times New Roman" w:cs="Times New Roman"/>
          <w:b/>
          <w:sz w:val="24"/>
          <w:szCs w:val="24"/>
        </w:rPr>
        <w:t xml:space="preserve">3.1 </w:t>
      </w:r>
      <w:r w:rsidR="004116D4" w:rsidRPr="003406EC">
        <w:rPr>
          <w:rFonts w:ascii="Times New Roman" w:hAnsi="Times New Roman" w:cs="Times New Roman"/>
          <w:b/>
          <w:sz w:val="24"/>
          <w:szCs w:val="24"/>
        </w:rPr>
        <w:t>Financial Ratio Factors</w:t>
      </w:r>
    </w:p>
    <w:p w:rsidR="00F56990" w:rsidRDefault="00F56990" w:rsidP="003D6DDA">
      <w:pPr>
        <w:tabs>
          <w:tab w:val="left" w:pos="810"/>
        </w:tabs>
        <w:autoSpaceDE w:val="0"/>
        <w:autoSpaceDN w:val="0"/>
        <w:adjustRightInd w:val="0"/>
        <w:spacing w:after="0" w:line="240" w:lineRule="auto"/>
        <w:jc w:val="both"/>
        <w:rPr>
          <w:rFonts w:ascii="Times New Roman" w:hAnsi="Times New Roman" w:cs="Times New Roman"/>
          <w:b/>
          <w:sz w:val="24"/>
          <w:szCs w:val="24"/>
        </w:rPr>
      </w:pPr>
    </w:p>
    <w:p w:rsidR="009E69E9" w:rsidRPr="003406EC" w:rsidRDefault="009E69E9" w:rsidP="003D6DDA">
      <w:pPr>
        <w:tabs>
          <w:tab w:val="left" w:pos="810"/>
        </w:tabs>
        <w:autoSpaceDE w:val="0"/>
        <w:autoSpaceDN w:val="0"/>
        <w:adjustRightInd w:val="0"/>
        <w:spacing w:after="0" w:line="240" w:lineRule="auto"/>
        <w:jc w:val="both"/>
        <w:rPr>
          <w:rFonts w:ascii="Times New Roman" w:hAnsi="Times New Roman" w:cs="Times New Roman"/>
          <w:b/>
          <w:sz w:val="24"/>
          <w:szCs w:val="24"/>
        </w:rPr>
      </w:pPr>
    </w:p>
    <w:p w:rsidR="004116D4" w:rsidRPr="003406EC" w:rsidRDefault="004116D4" w:rsidP="00F56990">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 xml:space="preserve">Liquidity factor is measured by liquid assets over total assets ratio, also known as justification for short-term liquidity or daily transactions. Solvency factor is estimated using equity over total assets, which is also known as long-term liquidity for long-term debt obligations. The two measurements are used in </w:t>
      </w:r>
      <w:proofErr w:type="spellStart"/>
      <w:r w:rsidRPr="003406EC">
        <w:rPr>
          <w:rFonts w:ascii="Times New Roman" w:hAnsi="Times New Roman" w:cs="Times New Roman"/>
          <w:sz w:val="24"/>
          <w:szCs w:val="24"/>
        </w:rPr>
        <w:t>Ariff</w:t>
      </w:r>
      <w:proofErr w:type="spellEnd"/>
      <w:r w:rsidRPr="003406EC">
        <w:rPr>
          <w:rFonts w:ascii="Times New Roman" w:hAnsi="Times New Roman" w:cs="Times New Roman"/>
          <w:sz w:val="24"/>
          <w:szCs w:val="24"/>
        </w:rPr>
        <w:t xml:space="preserve"> et al. (2013) and expect positive regression with cumulative abnormal return. Since cash holdings aid in reducing the pressure of increased liquidity risk, it is believed that liquidity and solvency risk factors will be positively related to cash holdings. </w:t>
      </w:r>
    </w:p>
    <w:p w:rsidR="004116D4" w:rsidRPr="003406EC" w:rsidRDefault="004116D4" w:rsidP="003D6DDA">
      <w:pPr>
        <w:tabs>
          <w:tab w:val="left" w:pos="810"/>
        </w:tabs>
        <w:spacing w:after="0" w:line="240" w:lineRule="auto"/>
        <w:jc w:val="both"/>
        <w:rPr>
          <w:rFonts w:ascii="Times New Roman" w:hAnsi="Times New Roman" w:cs="Times New Roman"/>
          <w:sz w:val="24"/>
          <w:szCs w:val="24"/>
        </w:rPr>
      </w:pPr>
    </w:p>
    <w:p w:rsidR="004116D4" w:rsidRDefault="004116D4" w:rsidP="00A30033">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The repayment ability factor is calculated to measure the ability of a firm to repay the interest on debt. There</w:t>
      </w:r>
      <w:r w:rsidR="00F56990">
        <w:rPr>
          <w:rFonts w:ascii="Times New Roman" w:hAnsi="Times New Roman" w:cs="Times New Roman"/>
          <w:sz w:val="24"/>
          <w:szCs w:val="24"/>
        </w:rPr>
        <w:t>fore the proxy for this factor</w:t>
      </w:r>
      <w:r w:rsidRPr="003406EC">
        <w:rPr>
          <w:rFonts w:ascii="Times New Roman" w:hAnsi="Times New Roman" w:cs="Times New Roman"/>
          <w:sz w:val="24"/>
          <w:szCs w:val="24"/>
        </w:rPr>
        <w:t xml:space="preserve"> is </w:t>
      </w:r>
      <w:r w:rsidR="00F56990">
        <w:rPr>
          <w:rFonts w:ascii="Times New Roman" w:hAnsi="Times New Roman" w:cs="Times New Roman"/>
          <w:sz w:val="24"/>
          <w:szCs w:val="24"/>
        </w:rPr>
        <w:t xml:space="preserve">estimated by </w:t>
      </w:r>
      <w:r w:rsidRPr="003406EC">
        <w:rPr>
          <w:rFonts w:ascii="Times New Roman" w:hAnsi="Times New Roman" w:cs="Times New Roman"/>
          <w:sz w:val="24"/>
          <w:szCs w:val="24"/>
        </w:rPr>
        <w:t>earnings before interest, taxes and depreciation (EBITD), divided by interest expenses, also known as the interest coverage ratio. Hence, the repayment ability factor is expected to be positively significant with cash holdings.</w:t>
      </w:r>
    </w:p>
    <w:p w:rsidR="00E67992" w:rsidRDefault="00E67992" w:rsidP="003D6DDA">
      <w:pPr>
        <w:tabs>
          <w:tab w:val="left" w:pos="810"/>
        </w:tabs>
        <w:spacing w:after="0" w:line="240" w:lineRule="auto"/>
        <w:ind w:firstLine="720"/>
        <w:jc w:val="both"/>
        <w:rPr>
          <w:rFonts w:ascii="Times New Roman" w:hAnsi="Times New Roman" w:cs="Times New Roman"/>
          <w:sz w:val="24"/>
          <w:szCs w:val="24"/>
        </w:rPr>
      </w:pPr>
    </w:p>
    <w:p w:rsidR="001C3EB2" w:rsidRPr="003406EC" w:rsidRDefault="001C3EB2" w:rsidP="003D6DDA">
      <w:pPr>
        <w:tabs>
          <w:tab w:val="left" w:pos="810"/>
        </w:tabs>
        <w:spacing w:after="0" w:line="240" w:lineRule="auto"/>
        <w:ind w:firstLine="720"/>
        <w:jc w:val="both"/>
        <w:rPr>
          <w:rFonts w:ascii="Times New Roman" w:hAnsi="Times New Roman" w:cs="Times New Roman"/>
          <w:sz w:val="24"/>
          <w:szCs w:val="24"/>
        </w:rPr>
      </w:pPr>
    </w:p>
    <w:p w:rsidR="002D3CDC" w:rsidRDefault="00625A84" w:rsidP="003D6DDA">
      <w:pPr>
        <w:tabs>
          <w:tab w:val="left" w:pos="810"/>
        </w:tabs>
        <w:autoSpaceDE w:val="0"/>
        <w:autoSpaceDN w:val="0"/>
        <w:adjustRightInd w:val="0"/>
        <w:spacing w:after="0" w:line="240" w:lineRule="auto"/>
        <w:jc w:val="both"/>
        <w:rPr>
          <w:rFonts w:ascii="Times New Roman" w:hAnsi="Times New Roman" w:cs="Times New Roman"/>
          <w:b/>
          <w:sz w:val="24"/>
          <w:szCs w:val="24"/>
        </w:rPr>
      </w:pPr>
      <w:r w:rsidRPr="003406EC">
        <w:rPr>
          <w:rFonts w:ascii="Times New Roman" w:hAnsi="Times New Roman" w:cs="Times New Roman"/>
          <w:b/>
          <w:sz w:val="24"/>
          <w:szCs w:val="24"/>
        </w:rPr>
        <w:lastRenderedPageBreak/>
        <w:t xml:space="preserve">3.2 </w:t>
      </w:r>
      <w:r w:rsidR="004116D4" w:rsidRPr="003406EC">
        <w:rPr>
          <w:rFonts w:ascii="Times New Roman" w:hAnsi="Times New Roman" w:cs="Times New Roman"/>
          <w:b/>
          <w:sz w:val="24"/>
          <w:szCs w:val="24"/>
        </w:rPr>
        <w:t>Macroeconomic Risk Factors</w:t>
      </w:r>
    </w:p>
    <w:p w:rsidR="00F56990" w:rsidRPr="003406EC" w:rsidRDefault="00F56990" w:rsidP="003D6DDA">
      <w:pPr>
        <w:tabs>
          <w:tab w:val="left" w:pos="810"/>
        </w:tabs>
        <w:autoSpaceDE w:val="0"/>
        <w:autoSpaceDN w:val="0"/>
        <w:adjustRightInd w:val="0"/>
        <w:spacing w:after="0" w:line="240" w:lineRule="auto"/>
        <w:jc w:val="both"/>
        <w:rPr>
          <w:rFonts w:ascii="Times New Roman" w:hAnsi="Times New Roman" w:cs="Times New Roman"/>
          <w:b/>
          <w:sz w:val="24"/>
          <w:szCs w:val="24"/>
        </w:rPr>
      </w:pPr>
    </w:p>
    <w:p w:rsidR="00F56990" w:rsidRPr="003406EC" w:rsidRDefault="00F56990" w:rsidP="003D6DDA">
      <w:pPr>
        <w:tabs>
          <w:tab w:val="left" w:pos="810"/>
        </w:tabs>
        <w:spacing w:after="0" w:line="240" w:lineRule="auto"/>
        <w:jc w:val="both"/>
        <w:rPr>
          <w:rFonts w:ascii="Times New Roman" w:hAnsi="Times New Roman" w:cs="Times New Roman"/>
          <w:color w:val="000000"/>
          <w:sz w:val="24"/>
          <w:szCs w:val="24"/>
        </w:rPr>
      </w:pPr>
    </w:p>
    <w:p w:rsidR="004116D4" w:rsidRDefault="004116D4" w:rsidP="003D6DDA">
      <w:pPr>
        <w:tabs>
          <w:tab w:val="left" w:pos="810"/>
        </w:tabs>
        <w:spacing w:after="0" w:line="240" w:lineRule="auto"/>
        <w:ind w:firstLine="720"/>
        <w:jc w:val="both"/>
        <w:rPr>
          <w:rFonts w:ascii="Times New Roman" w:hAnsi="Times New Roman" w:cs="Times New Roman"/>
          <w:color w:val="000000"/>
          <w:sz w:val="24"/>
          <w:szCs w:val="24"/>
        </w:rPr>
      </w:pPr>
      <w:r w:rsidRPr="003406EC">
        <w:rPr>
          <w:rFonts w:ascii="Times New Roman" w:hAnsi="Times New Roman" w:cs="Times New Roman"/>
          <w:color w:val="000000"/>
          <w:sz w:val="24"/>
          <w:szCs w:val="24"/>
        </w:rPr>
        <w:t>Inflation and currency risk factors are measured by the standard deviation of changes in monthly data for a particular fiscal year. Firms are exposed to macroeconomic risks; these corporate risk exposures tend to be multifaceted as to challenge any attempt at analytical modeling in a pro-forma statement (Bartram, 2000). Rita (1980) concluded that the appreciation in currencies will lead to an increase in cash holdings and marketable securities. Thus currency risk and cash holdings are expected to move in the same direction and positively relate to cash holdings.</w:t>
      </w:r>
    </w:p>
    <w:p w:rsidR="00F56990" w:rsidRPr="003406EC" w:rsidRDefault="00F56990" w:rsidP="003D6DDA">
      <w:pPr>
        <w:tabs>
          <w:tab w:val="left" w:pos="810"/>
        </w:tabs>
        <w:spacing w:after="0" w:line="240" w:lineRule="auto"/>
        <w:ind w:firstLine="720"/>
        <w:jc w:val="both"/>
        <w:rPr>
          <w:rFonts w:ascii="Times New Roman" w:hAnsi="Times New Roman" w:cs="Times New Roman"/>
          <w:color w:val="000000"/>
          <w:sz w:val="24"/>
          <w:szCs w:val="24"/>
        </w:rPr>
      </w:pPr>
    </w:p>
    <w:p w:rsidR="00E67992" w:rsidRPr="003406EC" w:rsidRDefault="00E67992" w:rsidP="003D6DDA">
      <w:pPr>
        <w:tabs>
          <w:tab w:val="left" w:pos="810"/>
        </w:tabs>
        <w:autoSpaceDE w:val="0"/>
        <w:autoSpaceDN w:val="0"/>
        <w:adjustRightInd w:val="0"/>
        <w:spacing w:after="0" w:line="240" w:lineRule="auto"/>
        <w:ind w:firstLine="720"/>
        <w:jc w:val="both"/>
        <w:rPr>
          <w:rFonts w:ascii="Times New Roman" w:hAnsi="Times New Roman" w:cs="Times New Roman"/>
          <w:sz w:val="24"/>
          <w:szCs w:val="24"/>
        </w:rPr>
      </w:pPr>
    </w:p>
    <w:p w:rsidR="004116D4" w:rsidRDefault="00625A84" w:rsidP="003D6DDA">
      <w:pPr>
        <w:pStyle w:val="ListParagraph"/>
        <w:numPr>
          <w:ilvl w:val="0"/>
          <w:numId w:val="29"/>
        </w:numPr>
        <w:tabs>
          <w:tab w:val="left" w:pos="810"/>
        </w:tabs>
        <w:spacing w:after="0" w:line="240" w:lineRule="auto"/>
        <w:jc w:val="both"/>
        <w:rPr>
          <w:rFonts w:ascii="Times New Roman" w:hAnsi="Times New Roman" w:cs="Times New Roman"/>
          <w:b/>
          <w:sz w:val="24"/>
          <w:szCs w:val="24"/>
        </w:rPr>
      </w:pPr>
      <w:r w:rsidRPr="003406EC">
        <w:rPr>
          <w:rFonts w:ascii="Times New Roman" w:hAnsi="Times New Roman" w:cs="Times New Roman"/>
          <w:b/>
          <w:sz w:val="24"/>
          <w:szCs w:val="24"/>
        </w:rPr>
        <w:t>Findings</w:t>
      </w:r>
    </w:p>
    <w:p w:rsidR="009E69E9" w:rsidRDefault="009E69E9" w:rsidP="009E69E9">
      <w:pPr>
        <w:pStyle w:val="ListParagraph"/>
        <w:tabs>
          <w:tab w:val="left" w:pos="810"/>
        </w:tabs>
        <w:spacing w:after="0" w:line="240" w:lineRule="auto"/>
        <w:ind w:left="360"/>
        <w:jc w:val="both"/>
        <w:rPr>
          <w:rFonts w:ascii="Times New Roman" w:hAnsi="Times New Roman" w:cs="Times New Roman"/>
          <w:b/>
          <w:sz w:val="24"/>
          <w:szCs w:val="24"/>
        </w:rPr>
      </w:pPr>
    </w:p>
    <w:p w:rsidR="00E67992" w:rsidRPr="003406EC" w:rsidRDefault="00E67992" w:rsidP="003D6DDA">
      <w:pPr>
        <w:pStyle w:val="ListParagraph"/>
        <w:tabs>
          <w:tab w:val="left" w:pos="810"/>
        </w:tabs>
        <w:spacing w:after="0" w:line="240" w:lineRule="auto"/>
        <w:ind w:left="360"/>
        <w:jc w:val="both"/>
        <w:rPr>
          <w:rFonts w:ascii="Times New Roman" w:hAnsi="Times New Roman" w:cs="Times New Roman"/>
          <w:b/>
          <w:sz w:val="24"/>
          <w:szCs w:val="24"/>
        </w:rPr>
      </w:pPr>
    </w:p>
    <w:p w:rsidR="004116D4" w:rsidRPr="009E69E9" w:rsidRDefault="009E69E9" w:rsidP="009E69E9">
      <w:pPr>
        <w:tabs>
          <w:tab w:val="left" w:pos="81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4116D4" w:rsidRPr="009E69E9">
        <w:rPr>
          <w:rFonts w:ascii="Times New Roman" w:hAnsi="Times New Roman" w:cs="Times New Roman"/>
          <w:b/>
          <w:bCs/>
          <w:sz w:val="24"/>
          <w:szCs w:val="24"/>
        </w:rPr>
        <w:t>Descriptive Statistics for Cash Ratio, Financial Ratios and Risk Factors</w:t>
      </w:r>
    </w:p>
    <w:p w:rsidR="009E69E9" w:rsidRPr="009E69E9" w:rsidRDefault="009E69E9" w:rsidP="009E69E9">
      <w:pPr>
        <w:tabs>
          <w:tab w:val="left" w:pos="810"/>
        </w:tabs>
        <w:spacing w:after="0" w:line="240" w:lineRule="auto"/>
        <w:ind w:left="720"/>
        <w:jc w:val="both"/>
        <w:rPr>
          <w:rFonts w:ascii="Times New Roman" w:hAnsi="Times New Roman" w:cs="Times New Roman"/>
          <w:b/>
          <w:bCs/>
          <w:sz w:val="24"/>
          <w:szCs w:val="24"/>
        </w:rPr>
      </w:pPr>
    </w:p>
    <w:p w:rsidR="004116D4" w:rsidRDefault="002D3CDC" w:rsidP="009E69E9">
      <w:p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study</w:t>
      </w:r>
      <w:r w:rsidR="004116D4" w:rsidRPr="003406EC">
        <w:rPr>
          <w:rFonts w:ascii="Times New Roman" w:hAnsi="Times New Roman" w:cs="Times New Roman"/>
          <w:sz w:val="24"/>
          <w:szCs w:val="24"/>
        </w:rPr>
        <w:t xml:space="preserve"> is to investigate the effect of financial ratios and macroeconomic risk</w:t>
      </w:r>
      <w:r w:rsidR="009E69E9">
        <w:rPr>
          <w:rFonts w:ascii="Times New Roman" w:hAnsi="Times New Roman" w:cs="Times New Roman"/>
          <w:sz w:val="24"/>
          <w:szCs w:val="24"/>
        </w:rPr>
        <w:t xml:space="preserve"> factors on firm cash ratio i</w:t>
      </w:r>
      <w:r w:rsidR="004116D4" w:rsidRPr="003406EC">
        <w:rPr>
          <w:rFonts w:ascii="Times New Roman" w:hAnsi="Times New Roman" w:cs="Times New Roman"/>
          <w:sz w:val="24"/>
          <w:szCs w:val="24"/>
        </w:rPr>
        <w:t>n order to further complete and provide comprehensive findings for this study of corporate cash holdings. Many studies have been conducted on the determination of cash holdings by involving firm-specific and macroeconomics variables. However, none of these provide evidence regarding financial ratios and risk factors that significantly affect t</w:t>
      </w:r>
      <w:r>
        <w:rPr>
          <w:rFonts w:ascii="Times New Roman" w:hAnsi="Times New Roman" w:cs="Times New Roman"/>
          <w:sz w:val="24"/>
          <w:szCs w:val="24"/>
        </w:rPr>
        <w:t>he changes in firm cash ratio</w:t>
      </w:r>
      <w:r w:rsidR="004116D4" w:rsidRPr="003406EC">
        <w:rPr>
          <w:rFonts w:ascii="Times New Roman" w:hAnsi="Times New Roman" w:cs="Times New Roman"/>
          <w:sz w:val="24"/>
          <w:szCs w:val="24"/>
        </w:rPr>
        <w:t xml:space="preserve">. </w:t>
      </w:r>
    </w:p>
    <w:p w:rsidR="009E69E9" w:rsidRPr="003406EC" w:rsidRDefault="009E69E9" w:rsidP="009E69E9">
      <w:pPr>
        <w:tabs>
          <w:tab w:val="left" w:pos="810"/>
        </w:tabs>
        <w:spacing w:after="0" w:line="240" w:lineRule="auto"/>
        <w:jc w:val="both"/>
        <w:rPr>
          <w:rFonts w:ascii="Times New Roman" w:hAnsi="Times New Roman" w:cs="Times New Roman"/>
          <w:sz w:val="24"/>
          <w:szCs w:val="24"/>
        </w:rPr>
      </w:pPr>
    </w:p>
    <w:p w:rsidR="004116D4" w:rsidRDefault="004116D4" w:rsidP="003D6DDA">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The descriptive statistics for financial ratios and macroeconomics risk factors as well as the cas</w:t>
      </w:r>
      <w:r w:rsidR="002D3CDC">
        <w:rPr>
          <w:rFonts w:ascii="Times New Roman" w:hAnsi="Times New Roman" w:cs="Times New Roman"/>
          <w:sz w:val="24"/>
          <w:szCs w:val="24"/>
        </w:rPr>
        <w:t>h ratio are shown in Table 1</w:t>
      </w:r>
      <w:r w:rsidRPr="003406EC">
        <w:rPr>
          <w:rFonts w:ascii="Times New Roman" w:hAnsi="Times New Roman" w:cs="Times New Roman"/>
          <w:sz w:val="24"/>
          <w:szCs w:val="24"/>
        </w:rPr>
        <w:t xml:space="preserve">. The top part of the table gives the descriptive statistics for the listed firms in KOSE, while the bottom is for the listed firms in Bursa Malaysia. Among financial ratios, the listed firms in KOSE face a comparatively higher repayment ability factor, whereas the listed firms in Bursa Malaysia experience a higher liquidity and solvency factors, which mainly focus on sufficient liquidity to meet short-term and long-term obligations. These criteria could be further explained by the firm-specific characteristics. The macroeconomic risk factors, which include currency, and inflation risk factors are greater for the listed firms in KOSE than for Bursa Malaysia. The volatility of macroeconomic elements in Malaysia is slightly lower than the fluctuation of exchange rates and inflation risk in South Korea. </w:t>
      </w:r>
    </w:p>
    <w:p w:rsidR="009E69E9" w:rsidRPr="003406EC" w:rsidRDefault="009E69E9" w:rsidP="003D6DDA">
      <w:pPr>
        <w:tabs>
          <w:tab w:val="left" w:pos="810"/>
        </w:tabs>
        <w:spacing w:after="0" w:line="240" w:lineRule="auto"/>
        <w:ind w:firstLine="720"/>
        <w:jc w:val="both"/>
        <w:rPr>
          <w:rFonts w:ascii="Times New Roman" w:hAnsi="Times New Roman" w:cs="Times New Roman"/>
          <w:sz w:val="24"/>
          <w:szCs w:val="24"/>
        </w:rPr>
      </w:pPr>
    </w:p>
    <w:p w:rsidR="004116D4" w:rsidRDefault="00B81D0A" w:rsidP="003D6DDA">
      <w:pPr>
        <w:tabs>
          <w:tab w:val="left" w:pos="8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(Insert table 1)</w:t>
      </w:r>
    </w:p>
    <w:p w:rsidR="009E69E9" w:rsidRDefault="009E69E9" w:rsidP="003D6DDA">
      <w:pPr>
        <w:tabs>
          <w:tab w:val="left" w:pos="810"/>
        </w:tabs>
        <w:spacing w:after="0" w:line="240" w:lineRule="auto"/>
        <w:jc w:val="center"/>
        <w:rPr>
          <w:rFonts w:ascii="Times New Roman" w:hAnsi="Times New Roman" w:cs="Times New Roman"/>
          <w:sz w:val="24"/>
          <w:szCs w:val="24"/>
        </w:rPr>
      </w:pPr>
    </w:p>
    <w:p w:rsidR="00E67992" w:rsidRPr="003406EC" w:rsidRDefault="00E67992" w:rsidP="003D6DDA">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The mean and standard deviation of cash ratio are about the same for both stock exchanges, which show the mean of 0.1232 and standard deviation of 0.1124 for the listed firms in KOSE, and the mean of 0.1273 and standard deviation of 0.1313 for the listed firms in Bursa Malaysia. The previous section reports a higher standard deviation of the change in interest expenses for KOSE relative to the listed firms in Bursa Malaysia. The higher mean and standard deviation of the change in interest expenses show that the listed firms in KOSE are paying a relatively higher payment on interest charges. As a result, the interest risk for the listed firms in KOSE is greater than in Bursa Malaysia.</w:t>
      </w:r>
    </w:p>
    <w:p w:rsidR="002D3CDC" w:rsidRDefault="004116D4" w:rsidP="009E69E9">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lastRenderedPageBreak/>
        <w:t>These two financial ratios are lower for the listed firms in KOSE, which eventually portray the weakness of these firms in terms of liquidity and solvency management.</w:t>
      </w:r>
      <w:r w:rsidR="009E69E9">
        <w:rPr>
          <w:rFonts w:ascii="Times New Roman" w:hAnsi="Times New Roman" w:cs="Times New Roman"/>
          <w:sz w:val="24"/>
          <w:szCs w:val="24"/>
        </w:rPr>
        <w:t xml:space="preserve"> </w:t>
      </w:r>
      <w:r w:rsidRPr="003406EC">
        <w:rPr>
          <w:rFonts w:ascii="Times New Roman" w:hAnsi="Times New Roman" w:cs="Times New Roman"/>
          <w:sz w:val="24"/>
          <w:szCs w:val="24"/>
        </w:rPr>
        <w:t xml:space="preserve">Financial risk and risk factor trends of low cash holding firms and high cash holding firms are similar for both stock exchanges. High cash holding firms experience higher means of all variables. Overall, the status of financial ratios and higher risk factors might be the key motive to encourage firms to hold more cash in order to have sufficient liquidity and flexibility to overcome the uncertainties of the future. </w:t>
      </w:r>
    </w:p>
    <w:p w:rsidR="009E69E9" w:rsidRPr="003406EC" w:rsidRDefault="009E69E9" w:rsidP="003D6DDA">
      <w:pPr>
        <w:tabs>
          <w:tab w:val="left" w:pos="810"/>
        </w:tabs>
        <w:spacing w:after="0" w:line="240" w:lineRule="auto"/>
        <w:ind w:firstLine="720"/>
        <w:jc w:val="both"/>
        <w:rPr>
          <w:rFonts w:ascii="Times New Roman" w:hAnsi="Times New Roman" w:cs="Times New Roman"/>
          <w:sz w:val="24"/>
          <w:szCs w:val="24"/>
        </w:rPr>
      </w:pPr>
    </w:p>
    <w:p w:rsidR="004116D4" w:rsidRPr="003406EC" w:rsidRDefault="004116D4" w:rsidP="003D6DDA">
      <w:pPr>
        <w:pStyle w:val="ListParagraph"/>
        <w:numPr>
          <w:ilvl w:val="0"/>
          <w:numId w:val="28"/>
        </w:numPr>
        <w:tabs>
          <w:tab w:val="left" w:pos="810"/>
        </w:tabs>
        <w:spacing w:after="0" w:line="240" w:lineRule="auto"/>
        <w:jc w:val="both"/>
        <w:rPr>
          <w:rFonts w:ascii="Times New Roman" w:hAnsi="Times New Roman" w:cs="Times New Roman"/>
          <w:b/>
          <w:sz w:val="24"/>
          <w:szCs w:val="24"/>
        </w:rPr>
      </w:pPr>
      <w:r w:rsidRPr="003406EC">
        <w:rPr>
          <w:rFonts w:ascii="Times New Roman" w:hAnsi="Times New Roman" w:cs="Times New Roman"/>
          <w:b/>
          <w:sz w:val="24"/>
          <w:szCs w:val="24"/>
        </w:rPr>
        <w:t>Diagnostic Check for GMM Estimation for KOSE and Bursa Malaysia</w:t>
      </w:r>
    </w:p>
    <w:p w:rsidR="004116D4" w:rsidRPr="003406EC" w:rsidRDefault="004116D4" w:rsidP="003D6DDA">
      <w:pPr>
        <w:tabs>
          <w:tab w:val="left" w:pos="810"/>
        </w:tabs>
        <w:spacing w:after="0" w:line="240" w:lineRule="auto"/>
        <w:jc w:val="both"/>
        <w:rPr>
          <w:rFonts w:ascii="Times New Roman" w:hAnsi="Times New Roman" w:cs="Times New Roman"/>
          <w:sz w:val="24"/>
          <w:szCs w:val="24"/>
        </w:rPr>
      </w:pPr>
    </w:p>
    <w:p w:rsidR="007071EF" w:rsidRDefault="007071EF"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 xml:space="preserve">There are two diagnostics that are part of the GMM in testing the appropriateness of the instruments used. The </w:t>
      </w:r>
      <w:proofErr w:type="spellStart"/>
      <w:r w:rsidRPr="003406EC">
        <w:rPr>
          <w:rFonts w:ascii="Times New Roman" w:hAnsi="Times New Roman" w:cs="Times New Roman"/>
          <w:sz w:val="24"/>
          <w:szCs w:val="24"/>
        </w:rPr>
        <w:t>Sargan</w:t>
      </w:r>
      <w:proofErr w:type="spellEnd"/>
      <w:r w:rsidRPr="003406EC">
        <w:rPr>
          <w:rFonts w:ascii="Times New Roman" w:hAnsi="Times New Roman" w:cs="Times New Roman"/>
          <w:sz w:val="24"/>
          <w:szCs w:val="24"/>
        </w:rPr>
        <w:t xml:space="preserve"> test is used to identify the restrictions under the null hypothesis on the validity of the instruments (Arellano et al., 1991; 2003). The test concludes with the null hypothesis that mentions that all IVs are uncorrelated or that the model is not over-identifying restrictions. If the statistical value shows that there is enough evidence to reject the null hypothesis, then at least some of the IVs are not exogenous. In order to continue with the GMM estimations, the </w:t>
      </w:r>
      <w:proofErr w:type="spellStart"/>
      <w:r w:rsidRPr="003406EC">
        <w:rPr>
          <w:rFonts w:ascii="Times New Roman" w:hAnsi="Times New Roman" w:cs="Times New Roman"/>
          <w:sz w:val="24"/>
          <w:szCs w:val="24"/>
        </w:rPr>
        <w:t>Sargan</w:t>
      </w:r>
      <w:proofErr w:type="spellEnd"/>
      <w:r w:rsidRPr="003406EC">
        <w:rPr>
          <w:rFonts w:ascii="Times New Roman" w:hAnsi="Times New Roman" w:cs="Times New Roman"/>
          <w:sz w:val="24"/>
          <w:szCs w:val="24"/>
        </w:rPr>
        <w:t xml:space="preserve"> test must show that the model is not over-identifying restrictions. The results for the </w:t>
      </w:r>
      <w:proofErr w:type="spellStart"/>
      <w:r w:rsidRPr="003406EC">
        <w:rPr>
          <w:rFonts w:ascii="Times New Roman" w:hAnsi="Times New Roman" w:cs="Times New Roman"/>
          <w:sz w:val="24"/>
          <w:szCs w:val="24"/>
        </w:rPr>
        <w:t>Sarga</w:t>
      </w:r>
      <w:r w:rsidR="00816DCE">
        <w:rPr>
          <w:rFonts w:ascii="Times New Roman" w:hAnsi="Times New Roman" w:cs="Times New Roman"/>
          <w:sz w:val="24"/>
          <w:szCs w:val="24"/>
        </w:rPr>
        <w:t>n</w:t>
      </w:r>
      <w:proofErr w:type="spellEnd"/>
      <w:r w:rsidR="00816DCE">
        <w:rPr>
          <w:rFonts w:ascii="Times New Roman" w:hAnsi="Times New Roman" w:cs="Times New Roman"/>
          <w:sz w:val="24"/>
          <w:szCs w:val="24"/>
        </w:rPr>
        <w:t xml:space="preserve"> test in t</w:t>
      </w:r>
      <w:r w:rsidRPr="003406EC">
        <w:rPr>
          <w:rFonts w:ascii="Times New Roman" w:hAnsi="Times New Roman" w:cs="Times New Roman"/>
          <w:sz w:val="24"/>
          <w:szCs w:val="24"/>
        </w:rPr>
        <w:t xml:space="preserve">able 2 show that them to be not statistically significant. With respect to the </w:t>
      </w:r>
      <w:proofErr w:type="spellStart"/>
      <w:r w:rsidRPr="003406EC">
        <w:rPr>
          <w:rFonts w:ascii="Times New Roman" w:hAnsi="Times New Roman" w:cs="Times New Roman"/>
          <w:sz w:val="24"/>
          <w:szCs w:val="24"/>
        </w:rPr>
        <w:t>Sargan</w:t>
      </w:r>
      <w:proofErr w:type="spellEnd"/>
      <w:r w:rsidRPr="003406EC">
        <w:rPr>
          <w:rFonts w:ascii="Times New Roman" w:hAnsi="Times New Roman" w:cs="Times New Roman"/>
          <w:sz w:val="24"/>
          <w:szCs w:val="24"/>
        </w:rPr>
        <w:t xml:space="preserve"> test of over-identifying restrictions, the high p-value suggests insufficient data in rejecting the null hypothesis that the set of instruments are appropriate. The second diagnostic test is a check of the first-order and second-order serial correlations in the first different residuals, stated as asymptotically standard normal distribution values. As required, the test for the first-order correlation AR (1) in the GMM estimation must reject the null hypothesis that the autocorrelation exists in the data set, and the second-order correlation AR (2) must fail to reject the null hypothesis. The statistical reports of the p-value of AR (1) and AR (2) are fulfilling the requirement. Thus the validity of GMM is supported in this model.</w:t>
      </w:r>
    </w:p>
    <w:p w:rsidR="009E69E9" w:rsidRDefault="009E69E9" w:rsidP="003D6DDA">
      <w:pPr>
        <w:tabs>
          <w:tab w:val="left" w:pos="810"/>
        </w:tabs>
        <w:spacing w:after="0" w:line="240" w:lineRule="auto"/>
        <w:jc w:val="both"/>
        <w:rPr>
          <w:rFonts w:ascii="Times New Roman" w:hAnsi="Times New Roman" w:cs="Times New Roman"/>
          <w:sz w:val="24"/>
          <w:szCs w:val="24"/>
        </w:rPr>
      </w:pPr>
    </w:p>
    <w:p w:rsidR="004116D4" w:rsidRDefault="00B81D0A" w:rsidP="003D6DDA">
      <w:pPr>
        <w:tabs>
          <w:tab w:val="left" w:pos="8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(Insert table 2)</w:t>
      </w:r>
    </w:p>
    <w:p w:rsidR="009E69E9" w:rsidRPr="003406EC" w:rsidRDefault="009E69E9" w:rsidP="003D6DDA">
      <w:pPr>
        <w:tabs>
          <w:tab w:val="left" w:pos="810"/>
        </w:tabs>
        <w:spacing w:after="0" w:line="240" w:lineRule="auto"/>
        <w:jc w:val="center"/>
        <w:rPr>
          <w:rFonts w:ascii="Times New Roman" w:hAnsi="Times New Roman" w:cs="Times New Roman"/>
          <w:sz w:val="24"/>
          <w:szCs w:val="24"/>
        </w:rPr>
      </w:pPr>
    </w:p>
    <w:p w:rsidR="004116D4" w:rsidRDefault="00816DCE" w:rsidP="003D6DDA">
      <w:pPr>
        <w:pStyle w:val="ListParagraph"/>
        <w:numPr>
          <w:ilvl w:val="0"/>
          <w:numId w:val="28"/>
        </w:numPr>
        <w:tabs>
          <w:tab w:val="left" w:pos="810"/>
        </w:tabs>
        <w:spacing w:after="0" w:line="240" w:lineRule="auto"/>
        <w:rPr>
          <w:rFonts w:ascii="Times New Roman" w:hAnsi="Times New Roman" w:cs="Times New Roman"/>
          <w:b/>
          <w:sz w:val="24"/>
          <w:szCs w:val="24"/>
        </w:rPr>
      </w:pPr>
      <w:r>
        <w:rPr>
          <w:rFonts w:ascii="Times New Roman" w:hAnsi="Times New Roman" w:cs="Times New Roman"/>
          <w:b/>
          <w:sz w:val="24"/>
          <w:szCs w:val="24"/>
        </w:rPr>
        <w:t>Finding of</w:t>
      </w:r>
      <w:r w:rsidR="004116D4" w:rsidRPr="003406EC">
        <w:rPr>
          <w:rFonts w:ascii="Times New Roman" w:hAnsi="Times New Roman" w:cs="Times New Roman"/>
          <w:b/>
          <w:sz w:val="24"/>
          <w:szCs w:val="24"/>
        </w:rPr>
        <w:t xml:space="preserve"> GMM Estimation for KOSE </w:t>
      </w:r>
    </w:p>
    <w:p w:rsidR="009E69E9" w:rsidRPr="003406EC" w:rsidRDefault="009E69E9" w:rsidP="009E69E9">
      <w:pPr>
        <w:pStyle w:val="ListParagraph"/>
        <w:tabs>
          <w:tab w:val="left" w:pos="810"/>
        </w:tabs>
        <w:spacing w:after="0" w:line="240" w:lineRule="auto"/>
        <w:ind w:left="1080"/>
        <w:rPr>
          <w:rFonts w:ascii="Times New Roman" w:hAnsi="Times New Roman" w:cs="Times New Roman"/>
          <w:b/>
          <w:sz w:val="24"/>
          <w:szCs w:val="24"/>
        </w:rPr>
      </w:pPr>
    </w:p>
    <w:p w:rsidR="004116D4" w:rsidRDefault="004116D4"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 xml:space="preserve">As mentioned earlier, a GMM estimation which consists of lagged variables as the </w:t>
      </w:r>
      <w:proofErr w:type="spellStart"/>
      <w:r w:rsidRPr="003406EC">
        <w:rPr>
          <w:rFonts w:ascii="Times New Roman" w:hAnsi="Times New Roman" w:cs="Times New Roman"/>
          <w:sz w:val="24"/>
          <w:szCs w:val="24"/>
        </w:rPr>
        <w:t>regressors</w:t>
      </w:r>
      <w:proofErr w:type="spellEnd"/>
      <w:r w:rsidRPr="003406EC">
        <w:rPr>
          <w:rFonts w:ascii="Times New Roman" w:hAnsi="Times New Roman" w:cs="Times New Roman"/>
          <w:sz w:val="24"/>
          <w:szCs w:val="24"/>
        </w:rPr>
        <w:t xml:space="preserve"> can aid in improving results by allowing the significance of the previous exogenous variables to be reflected in current adjustments. Therefore the findings of the dynamic relationship of corporate cash holdings with the financial ratios and risk factors might be improved by including the effect of lagged variables. The results for the GMM estimation for listed firms in </w:t>
      </w:r>
      <w:r w:rsidR="00816DCE">
        <w:rPr>
          <w:rFonts w:ascii="Times New Roman" w:hAnsi="Times New Roman" w:cs="Times New Roman"/>
          <w:sz w:val="24"/>
          <w:szCs w:val="24"/>
        </w:rPr>
        <w:t xml:space="preserve">KOSE are presented in Table </w:t>
      </w:r>
      <w:r w:rsidRPr="003406EC">
        <w:rPr>
          <w:rFonts w:ascii="Times New Roman" w:hAnsi="Times New Roman" w:cs="Times New Roman"/>
          <w:sz w:val="24"/>
          <w:szCs w:val="24"/>
        </w:rPr>
        <w:t>3.</w:t>
      </w:r>
    </w:p>
    <w:p w:rsidR="004D4E4C" w:rsidRPr="003406EC" w:rsidRDefault="004D4E4C" w:rsidP="003D6DDA">
      <w:pPr>
        <w:tabs>
          <w:tab w:val="left" w:pos="810"/>
        </w:tabs>
        <w:spacing w:after="0" w:line="240" w:lineRule="auto"/>
        <w:jc w:val="both"/>
        <w:rPr>
          <w:rFonts w:ascii="Times New Roman" w:hAnsi="Times New Roman" w:cs="Times New Roman"/>
          <w:sz w:val="24"/>
          <w:szCs w:val="24"/>
        </w:rPr>
      </w:pPr>
    </w:p>
    <w:p w:rsidR="004116D4" w:rsidRDefault="004116D4" w:rsidP="003D6DDA">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The total number of listed firms involved is 864; 10.8% of the total is high cash holding firms, and the balance of 770 firms is low cash holding firms. The horizontal arrangement makes it easy to compare the findings from row to row across each category. The data are estimated using a two-year moving average as the number of years for the sample is not long enough to conduct a 3-year or 5-year moving average. The results </w:t>
      </w:r>
      <w:r w:rsidR="002D3CDC">
        <w:rPr>
          <w:rFonts w:ascii="Times New Roman" w:hAnsi="Times New Roman" w:cs="Times New Roman"/>
          <w:sz w:val="24"/>
          <w:szCs w:val="24"/>
        </w:rPr>
        <w:t xml:space="preserve">for KOSE are shown in Table </w:t>
      </w:r>
      <w:r w:rsidRPr="003406EC">
        <w:rPr>
          <w:rFonts w:ascii="Times New Roman" w:hAnsi="Times New Roman" w:cs="Times New Roman"/>
          <w:sz w:val="24"/>
          <w:szCs w:val="24"/>
        </w:rPr>
        <w:t xml:space="preserve">3. The statistics indicate that the coefficient of lagged cash ratio is positively significant to dependent variables in that it supports the dynamic relationship of the dependent variable existing in this model. The cash-holding level relative to total assets in previous periods do generate a positive </w:t>
      </w:r>
      <w:r w:rsidRPr="003406EC">
        <w:rPr>
          <w:rFonts w:ascii="Times New Roman" w:hAnsi="Times New Roman" w:cs="Times New Roman"/>
          <w:sz w:val="24"/>
          <w:szCs w:val="24"/>
        </w:rPr>
        <w:lastRenderedPageBreak/>
        <w:t xml:space="preserve">impact on the current cash ratio, and the impact of the lagged cash reserves has more of an effect on low cash holding firms than high cash holding firms, shown by the coefficient of 0.3228 compared with 0.1304 in model 2. </w:t>
      </w:r>
    </w:p>
    <w:p w:rsidR="004D4E4C" w:rsidRPr="003406EC" w:rsidRDefault="004D4E4C" w:rsidP="003D6DDA">
      <w:pPr>
        <w:tabs>
          <w:tab w:val="left" w:pos="810"/>
        </w:tabs>
        <w:spacing w:after="0" w:line="240" w:lineRule="auto"/>
        <w:ind w:firstLine="720"/>
        <w:jc w:val="both"/>
        <w:rPr>
          <w:rFonts w:ascii="Times New Roman" w:hAnsi="Times New Roman" w:cs="Times New Roman"/>
          <w:sz w:val="24"/>
          <w:szCs w:val="24"/>
        </w:rPr>
      </w:pPr>
    </w:p>
    <w:p w:rsidR="004116D4" w:rsidRDefault="004116D4" w:rsidP="003D6DDA">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The listed firms in KOSE, including high cash holding firms and low cash holding firms, the liquidity (tally with the finding in </w:t>
      </w:r>
      <w:proofErr w:type="spellStart"/>
      <w:r w:rsidRPr="003406EC">
        <w:rPr>
          <w:rFonts w:ascii="Times New Roman" w:hAnsi="Times New Roman" w:cs="Times New Roman"/>
          <w:sz w:val="24"/>
          <w:szCs w:val="24"/>
        </w:rPr>
        <w:t>Mamdouh</w:t>
      </w:r>
      <w:proofErr w:type="spellEnd"/>
      <w:r w:rsidRPr="003406EC">
        <w:rPr>
          <w:rFonts w:ascii="Times New Roman" w:hAnsi="Times New Roman" w:cs="Times New Roman"/>
          <w:sz w:val="24"/>
          <w:szCs w:val="24"/>
        </w:rPr>
        <w:t>, 2014) and repayment ability factors are positively significant to cash holdings. The coefficients for the results of the GMM estimation showing that low cash holding firms have a higher coefficient for liquidity factor while the coefficient for the repayment ability factor is almost the same for both high cash holding firms and low cash holding firms. Low cash holding firms have a higher coefficient of 0.0321 for the liquidity risk factor, which is almost double compared with the coefficient of 0.0147 for high cash holding firms. This shows that the cash ratio of low cash holding firms is greatly responsive to changes in liquidity risk. Firms have access to two types of external financing which are debt and equity. When internal cash holdings are insufficient to cover a firm's daily payments, the firm might need to issue equity to cover the deficit. If shareholders are no longer keen to pump in additional capital, the firm defaults (Chen, 2010). Therefore, low cash holding firms with relatively weak internal cash reserves are more sensitive to changes in the liquidity risk factor. As firms need more cash to pay off the increase in daily transactional needs and short term obligations, the cash ratio of a particular firm has to be adjusted to a higher proportion. Since high cash holding firms always have a higher amount of ready funds on hand, the response of the cash ratio towards the rise in liquidity risk is lower.</w:t>
      </w:r>
    </w:p>
    <w:p w:rsidR="004D4E4C" w:rsidRPr="003406EC" w:rsidRDefault="004D4E4C" w:rsidP="003D6DDA">
      <w:pPr>
        <w:tabs>
          <w:tab w:val="left" w:pos="810"/>
        </w:tabs>
        <w:spacing w:after="0" w:line="240" w:lineRule="auto"/>
        <w:ind w:firstLine="720"/>
        <w:jc w:val="both"/>
        <w:rPr>
          <w:rFonts w:ascii="Times New Roman" w:hAnsi="Times New Roman" w:cs="Times New Roman"/>
          <w:sz w:val="24"/>
          <w:szCs w:val="24"/>
        </w:rPr>
      </w:pPr>
    </w:p>
    <w:p w:rsidR="004116D4" w:rsidRDefault="004116D4"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ab/>
        <w:t>The coefficients of the repayment ability factor are quite similar for high cash holding firms and low cash holding firms, which are 0.0010 and 0.0007 in model 1 respectively. The coefficients of repayment ability factor for high cash holding firms is decreasing to 0.0005 in Model 2, after including the effect of macroeconomic risk factors. Therefore the significance of the repayment ability factor in explaining the cash ratio in high cash holding firms is subject to changes in macroeconomic risk factors. High cash holding firms would be concerned about the changes in interest rate, and the amount of interest payments may burden their cash flow when they experience an unexpected need for cash reserves during bad economic times, a situation that is out of their control.</w:t>
      </w:r>
    </w:p>
    <w:p w:rsidR="004D4E4C" w:rsidRPr="003406EC" w:rsidRDefault="004D4E4C" w:rsidP="003D6DDA">
      <w:pPr>
        <w:tabs>
          <w:tab w:val="left" w:pos="810"/>
        </w:tabs>
        <w:spacing w:after="0" w:line="240" w:lineRule="auto"/>
        <w:jc w:val="both"/>
        <w:rPr>
          <w:rFonts w:ascii="Times New Roman" w:hAnsi="Times New Roman" w:cs="Times New Roman"/>
          <w:sz w:val="24"/>
          <w:szCs w:val="24"/>
        </w:rPr>
      </w:pPr>
    </w:p>
    <w:p w:rsidR="004116D4" w:rsidRDefault="00E51CDE"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ab/>
      </w:r>
      <w:r w:rsidR="004116D4" w:rsidRPr="003406EC">
        <w:rPr>
          <w:rFonts w:ascii="Times New Roman" w:hAnsi="Times New Roman" w:cs="Times New Roman"/>
          <w:sz w:val="24"/>
          <w:szCs w:val="24"/>
        </w:rPr>
        <w:t>The change of macroeconomic risk factors might increase the probability of high cash holding firms to increase their debt and leverage. Furthermore, the uncertainty in inflation and currency risk factors might negatively impact on the revenue of the firms which used in serving the interest payment. However, the cash ratio of low cash holding firms is always sensitive to interest rate, no matter how bad the economic conditions are. As they rely on debt in financing their short-term and long-term obligations, cash ratio of low cash holding firms are adjusting according to the remain certain level of repayment ability. Any changes in interest payment will turn them into default when they fail to cover their interest payments. Therefore, the awareness of cash ratio on interest expenses obligation is very strong for low cash holding firms.</w:t>
      </w:r>
    </w:p>
    <w:p w:rsidR="004D4E4C" w:rsidRDefault="004D4E4C" w:rsidP="003D6DDA">
      <w:pPr>
        <w:tabs>
          <w:tab w:val="left" w:pos="810"/>
        </w:tabs>
        <w:spacing w:after="0" w:line="240" w:lineRule="auto"/>
        <w:jc w:val="both"/>
        <w:rPr>
          <w:rFonts w:ascii="Times New Roman" w:hAnsi="Times New Roman" w:cs="Times New Roman"/>
          <w:sz w:val="24"/>
          <w:szCs w:val="24"/>
        </w:rPr>
      </w:pPr>
    </w:p>
    <w:p w:rsidR="007071EF" w:rsidRDefault="00816DCE" w:rsidP="003D6DDA">
      <w:pPr>
        <w:tabs>
          <w:tab w:val="left" w:pos="8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(Insert table 3)</w:t>
      </w:r>
    </w:p>
    <w:p w:rsidR="004D4E4C" w:rsidRPr="003406EC" w:rsidRDefault="004D4E4C" w:rsidP="003D6DDA">
      <w:pPr>
        <w:tabs>
          <w:tab w:val="left" w:pos="810"/>
        </w:tabs>
        <w:spacing w:after="0" w:line="240" w:lineRule="auto"/>
        <w:jc w:val="center"/>
        <w:rPr>
          <w:rFonts w:ascii="Times New Roman" w:hAnsi="Times New Roman" w:cs="Times New Roman"/>
          <w:sz w:val="24"/>
          <w:szCs w:val="24"/>
        </w:rPr>
      </w:pPr>
    </w:p>
    <w:p w:rsidR="004116D4" w:rsidRDefault="00E51CDE" w:rsidP="003D6DDA">
      <w:pPr>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T</w:t>
      </w:r>
      <w:r w:rsidR="004116D4" w:rsidRPr="003406EC">
        <w:rPr>
          <w:rFonts w:ascii="Times New Roman" w:hAnsi="Times New Roman" w:cs="Times New Roman"/>
          <w:sz w:val="24"/>
          <w:szCs w:val="24"/>
        </w:rPr>
        <w:t xml:space="preserve">he solvency factor is significant related with cash ratio. As mentioned in the previous portion, since solvency risk is measured by long-term assets and liability, cash holdings, which </w:t>
      </w:r>
      <w:r w:rsidR="004116D4" w:rsidRPr="003406EC">
        <w:rPr>
          <w:rFonts w:ascii="Times New Roman" w:hAnsi="Times New Roman" w:cs="Times New Roman"/>
          <w:sz w:val="24"/>
          <w:szCs w:val="24"/>
        </w:rPr>
        <w:lastRenderedPageBreak/>
        <w:t>are seen as part of current liquid assets, hardly contribute to any explanation of the cash ratio. Thus the significance of solvency risk in the GMM estimation shows that solvency risks do provide some explanation of cash ratio, and the impact of the lagged cash ratio plays an important role in enhancing this evidence. Solvency factor is measured by equity over-total-assets, issuance new equity which seen as source of external funding has a stronger explanation of cash holding for low cash holding firms. However, the significance of solvency factor is very weak for high cash holding firms which are less likely to obtain the external funding through equity issuance.</w:t>
      </w:r>
    </w:p>
    <w:p w:rsidR="004D4E4C" w:rsidRPr="003406EC" w:rsidRDefault="004D4E4C" w:rsidP="003D6DDA">
      <w:pPr>
        <w:spacing w:after="0" w:line="240" w:lineRule="auto"/>
        <w:ind w:firstLine="720"/>
        <w:jc w:val="both"/>
        <w:rPr>
          <w:rFonts w:ascii="Times New Roman" w:hAnsi="Times New Roman" w:cs="Times New Roman"/>
          <w:sz w:val="24"/>
          <w:szCs w:val="24"/>
        </w:rPr>
      </w:pPr>
    </w:p>
    <w:p w:rsidR="004116D4" w:rsidRDefault="004116D4" w:rsidP="003D6DDA">
      <w:pPr>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High cash holding firms are more likely to be explained by macroeconomic risk factors which are currency and inflation risk factors. This evidence shows that high cash holding firms in KOSE are likely to be greatly exposed to changes in macroeconomic risk. The coefficient of inflation risk which is 13.4356 with a negative sign shows that high cash holding firms will keep less cash reserves when inflation risk increases, in order to avoid depreciation on cash holding value. High inflation erodes the purchasing power of the cash on hand. Firms with high cash holing are rather to invest on assets or investment to shelter cash reserve from inflation. This finding tallies with those of </w:t>
      </w:r>
      <w:r w:rsidR="00570472" w:rsidRPr="003406EC">
        <w:rPr>
          <w:rFonts w:ascii="Times New Roman" w:hAnsi="Times New Roman" w:cs="Times New Roman"/>
          <w:sz w:val="24"/>
          <w:szCs w:val="24"/>
        </w:rPr>
        <w:fldChar w:fldCharType="begin"/>
      </w:r>
      <w:r w:rsidRPr="003406EC">
        <w:rPr>
          <w:rFonts w:ascii="Times New Roman" w:hAnsi="Times New Roman" w:cs="Times New Roman"/>
          <w:sz w:val="24"/>
          <w:szCs w:val="24"/>
        </w:rPr>
        <w:instrText xml:space="preserve"> ADDIN EN.CITE &lt;EndNote&gt;&lt;Cite&gt;&lt;Author&gt;Kim&lt;/Author&gt;&lt;Year&gt;1998&lt;/Year&gt;&lt;RecNum&gt;66&lt;/RecNum&gt;&lt;record&gt;&lt;rec-number&gt;66&lt;/rec-number&gt;&lt;foreign-keys&gt;&lt;key app="EN" db-id="f0vtavpsdw9aaierxd3vf0fgs0rzz0zw9dww"&gt;66&lt;/key&gt;&lt;/foreign-keys&gt;&lt;ref-type name="Journal Article"&gt;17&lt;/ref-type&gt;&lt;contributors&gt;&lt;authors&gt;&lt;author&gt;Kim, C.S.,&lt;/author&gt;&lt;author&gt;Mauer, D.C.,&lt;/author&gt;&lt;author&gt;Sherman, A.E.&lt;/author&gt;&lt;/authors&gt;&lt;/contributors&gt;&lt;titles&gt;&lt;title&gt;The determinants of corporate liquidity: theory and evidence&lt;/title&gt;&lt;secondary-title&gt;Journal of Fianncial and Quantitative Analysis&lt;/secondary-title&gt;&lt;/titles&gt;&lt;periodical&gt;&lt;full-title&gt;Journal of Fianncial and Quantitative Analysis&lt;/full-title&gt;&lt;/periodical&gt;&lt;volume&gt;33&lt;/volume&gt;&lt;number&gt;pages 335 - 359&lt;/number&gt;&lt;dates&gt;&lt;year&gt;1998&lt;/year&gt;&lt;/dates&gt;&lt;urls&gt;&lt;/urls&gt;&lt;/record&gt;&lt;/Cite&gt;&lt;Cite&gt;&lt;Author&gt;Natke&lt;/Author&gt;&lt;Year&gt;2001&lt;/Year&gt;&lt;RecNum&gt;96&lt;/RecNum&gt;&lt;record&gt;&lt;rec-number&gt;96&lt;/rec-number&gt;&lt;foreign-keys&gt;&lt;key app="EN" db-id="f0vtavpsdw9aaierxd3vf0fgs0rzz0zw9dww"&gt;96&lt;/key&gt;&lt;/foreign-keys&gt;&lt;ref-type name="Journal Article"&gt;17&lt;/ref-type&gt;&lt;contributors&gt;&lt;authors&gt;&lt;author&gt;Natke, P.&lt;/author&gt;&lt;/authors&gt;&lt;/contributors&gt;&lt;titles&gt;&lt;title&gt;The firm demand for liquid assets in an inflationary environment&lt;/title&gt;&lt;secondary-title&gt;Applied Economics&lt;/secondary-title&gt;&lt;/titles&gt;&lt;periodical&gt;&lt;full-title&gt;Applied Economics&lt;/full-title&gt;&lt;/periodical&gt;&lt;pages&gt;pages 427 - 436&lt;/pages&gt;&lt;volume&gt;33&lt;/volume&gt;&lt;number&gt;4&lt;/number&gt;&lt;dates&gt;&lt;year&gt;2001&lt;/year&gt;&lt;/dates&gt;&lt;urls&gt;&lt;/urls&gt;&lt;/record&gt;&lt;/Cite&gt;&lt;/EndNote&gt;</w:instrText>
      </w:r>
      <w:r w:rsidR="00570472" w:rsidRPr="003406EC">
        <w:rPr>
          <w:rFonts w:ascii="Times New Roman" w:hAnsi="Times New Roman" w:cs="Times New Roman"/>
          <w:sz w:val="24"/>
          <w:szCs w:val="24"/>
        </w:rPr>
        <w:fldChar w:fldCharType="separate"/>
      </w:r>
      <w:r w:rsidRPr="003406EC">
        <w:rPr>
          <w:rFonts w:ascii="Times New Roman" w:hAnsi="Times New Roman" w:cs="Times New Roman"/>
          <w:sz w:val="24"/>
          <w:szCs w:val="24"/>
        </w:rPr>
        <w:t>Kim et al. (1998) and Natke (2001)</w:t>
      </w:r>
      <w:r w:rsidR="00570472" w:rsidRPr="003406EC">
        <w:rPr>
          <w:rFonts w:ascii="Times New Roman" w:hAnsi="Times New Roman" w:cs="Times New Roman"/>
          <w:sz w:val="24"/>
          <w:szCs w:val="24"/>
        </w:rPr>
        <w:fldChar w:fldCharType="end"/>
      </w:r>
      <w:r w:rsidRPr="003406EC">
        <w:rPr>
          <w:rFonts w:ascii="Times New Roman" w:hAnsi="Times New Roman" w:cs="Times New Roman"/>
          <w:sz w:val="24"/>
          <w:szCs w:val="24"/>
        </w:rPr>
        <w:t>. The cash ratio of low cash holding firms are unexplainable by inflation risk because the cash on hand is only sufficient for daily transactions. Therefore the need of adjusting cash ratio according to the change in inflation risk do not existed for low cash holding firms.</w:t>
      </w:r>
    </w:p>
    <w:p w:rsidR="004D4E4C" w:rsidRPr="003406EC" w:rsidRDefault="004D4E4C" w:rsidP="003D6DDA">
      <w:pPr>
        <w:spacing w:after="0" w:line="240" w:lineRule="auto"/>
        <w:ind w:firstLine="720"/>
        <w:jc w:val="both"/>
        <w:rPr>
          <w:rFonts w:ascii="Times New Roman" w:hAnsi="Times New Roman" w:cs="Times New Roman"/>
          <w:sz w:val="24"/>
          <w:szCs w:val="24"/>
        </w:rPr>
      </w:pPr>
    </w:p>
    <w:p w:rsidR="004116D4" w:rsidRDefault="004116D4" w:rsidP="003D6DDA">
      <w:pPr>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Generally firms with high cash holding have higher efficiency in internal management than in firm with low cash holding. The better in internal control on assets for firms with high cash hol</w:t>
      </w:r>
      <w:r w:rsidR="009E69E9">
        <w:rPr>
          <w:rFonts w:ascii="Times New Roman" w:hAnsi="Times New Roman" w:cs="Times New Roman"/>
          <w:sz w:val="24"/>
          <w:szCs w:val="24"/>
        </w:rPr>
        <w:t>d</w:t>
      </w:r>
      <w:r w:rsidRPr="003406EC">
        <w:rPr>
          <w:rFonts w:ascii="Times New Roman" w:hAnsi="Times New Roman" w:cs="Times New Roman"/>
          <w:sz w:val="24"/>
          <w:szCs w:val="24"/>
        </w:rPr>
        <w:t>ing aids in accumulating cash holding. Therefore firm with high cash are easier in increasing cash on hand relatively to firm with low-cash holding. This finding is consistent with the capital flight theory, indicating that the appreciation in currency will increase the holdings of cash and marketable securities. The currency risk is significant with a positive coefficient of 4.3455 for high cash holding firms shows that firms are keeping more cash holding when the currency risk increases. As mentioned in the study of Rita (1980), the liquid fund will move in the same direction as trends in the exchange markets. However, the currency risk is insignificant for low cash holding firm due to restrictions in liquidity management. Firms with low cash holding are unable to increase and adjust the cash ratio immediately as the firm’s liquidity tie up with other component such as inventory and account receivables.</w:t>
      </w:r>
    </w:p>
    <w:p w:rsidR="004D4E4C" w:rsidRPr="003406EC" w:rsidRDefault="004D4E4C" w:rsidP="003D6DDA">
      <w:pPr>
        <w:spacing w:after="0" w:line="240" w:lineRule="auto"/>
        <w:ind w:firstLine="720"/>
        <w:jc w:val="both"/>
        <w:rPr>
          <w:rFonts w:ascii="Times New Roman" w:hAnsi="Times New Roman" w:cs="Times New Roman"/>
          <w:sz w:val="24"/>
          <w:szCs w:val="24"/>
        </w:rPr>
      </w:pPr>
    </w:p>
    <w:p w:rsidR="004116D4" w:rsidRDefault="004116D4" w:rsidP="003D6DDA">
      <w:pPr>
        <w:tabs>
          <w:tab w:val="left" w:pos="810"/>
        </w:tabs>
        <w:spacing w:after="0" w:line="240" w:lineRule="auto"/>
        <w:ind w:firstLine="709"/>
        <w:jc w:val="both"/>
        <w:rPr>
          <w:rFonts w:ascii="Times New Roman" w:hAnsi="Times New Roman" w:cs="Times New Roman"/>
          <w:sz w:val="24"/>
          <w:szCs w:val="24"/>
        </w:rPr>
      </w:pPr>
      <w:r w:rsidRPr="003406EC">
        <w:rPr>
          <w:rFonts w:ascii="Times New Roman" w:hAnsi="Times New Roman" w:cs="Times New Roman"/>
          <w:sz w:val="24"/>
          <w:szCs w:val="24"/>
        </w:rPr>
        <w:t>Macroeconomic risk factors might be the main reason or source of risk that encourages high cash holding firms to hold higher liquidity in order to manage unexpected changes; however, macroeconomic risk is usually out of their control.</w:t>
      </w:r>
      <w:r w:rsidRPr="003406EC">
        <w:rPr>
          <w:rStyle w:val="FootnoteReference"/>
          <w:rFonts w:ascii="Times New Roman" w:hAnsi="Times New Roman" w:cs="Times New Roman"/>
          <w:sz w:val="24"/>
          <w:szCs w:val="24"/>
        </w:rPr>
        <w:footnoteReference w:id="1"/>
      </w:r>
      <w:r w:rsidRPr="003406EC">
        <w:rPr>
          <w:rFonts w:ascii="Times New Roman" w:hAnsi="Times New Roman" w:cs="Times New Roman"/>
          <w:sz w:val="24"/>
          <w:szCs w:val="24"/>
        </w:rPr>
        <w:t xml:space="preserve"> Yet the effects of those risk factors have been restricted in the fixed-effect regression; the explanation of the variables in the previous period on the current exogenous variable has been ignored. Therefore it can only reflect that it is significant after including the effect of lagged exogenous variables. The F-statistics fo</w:t>
      </w:r>
      <w:r w:rsidR="00816DCE">
        <w:rPr>
          <w:rFonts w:ascii="Times New Roman" w:hAnsi="Times New Roman" w:cs="Times New Roman"/>
          <w:sz w:val="24"/>
          <w:szCs w:val="24"/>
        </w:rPr>
        <w:t xml:space="preserve">r all models in Table </w:t>
      </w:r>
      <w:r w:rsidRPr="003406EC">
        <w:rPr>
          <w:rFonts w:ascii="Times New Roman" w:hAnsi="Times New Roman" w:cs="Times New Roman"/>
          <w:sz w:val="24"/>
          <w:szCs w:val="24"/>
        </w:rPr>
        <w:t>3 are significant at 0.01.</w:t>
      </w:r>
    </w:p>
    <w:p w:rsidR="009E69E9" w:rsidRDefault="009E69E9" w:rsidP="003D6DDA">
      <w:pPr>
        <w:tabs>
          <w:tab w:val="left" w:pos="810"/>
        </w:tabs>
        <w:spacing w:after="0" w:line="240" w:lineRule="auto"/>
        <w:ind w:firstLine="709"/>
        <w:jc w:val="both"/>
        <w:rPr>
          <w:rFonts w:ascii="Times New Roman" w:hAnsi="Times New Roman" w:cs="Times New Roman"/>
          <w:sz w:val="24"/>
          <w:szCs w:val="24"/>
        </w:rPr>
      </w:pPr>
    </w:p>
    <w:p w:rsidR="004D4E4C" w:rsidRPr="003406EC" w:rsidRDefault="004D4E4C" w:rsidP="003D6DDA">
      <w:pPr>
        <w:tabs>
          <w:tab w:val="left" w:pos="810"/>
        </w:tabs>
        <w:spacing w:after="0" w:line="240" w:lineRule="auto"/>
        <w:ind w:firstLine="709"/>
        <w:jc w:val="both"/>
        <w:rPr>
          <w:rFonts w:ascii="Times New Roman" w:hAnsi="Times New Roman" w:cs="Times New Roman"/>
          <w:sz w:val="24"/>
          <w:szCs w:val="24"/>
        </w:rPr>
      </w:pPr>
    </w:p>
    <w:p w:rsidR="004116D4" w:rsidRPr="003406EC" w:rsidRDefault="00816DCE" w:rsidP="003D6DDA">
      <w:pPr>
        <w:pStyle w:val="ListParagraph"/>
        <w:numPr>
          <w:ilvl w:val="0"/>
          <w:numId w:val="28"/>
        </w:numPr>
        <w:tabs>
          <w:tab w:val="left" w:pos="81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Finding of </w:t>
      </w:r>
      <w:r w:rsidR="004116D4" w:rsidRPr="003406EC">
        <w:rPr>
          <w:rFonts w:ascii="Times New Roman" w:hAnsi="Times New Roman" w:cs="Times New Roman"/>
          <w:b/>
          <w:sz w:val="24"/>
          <w:szCs w:val="24"/>
        </w:rPr>
        <w:t>GMM Estimation for Bursa Malaysia</w:t>
      </w:r>
    </w:p>
    <w:p w:rsidR="004116D4" w:rsidRPr="003406EC" w:rsidRDefault="004116D4" w:rsidP="003D6DDA">
      <w:pPr>
        <w:tabs>
          <w:tab w:val="left" w:pos="810"/>
        </w:tabs>
        <w:spacing w:after="0" w:line="240" w:lineRule="auto"/>
        <w:jc w:val="both"/>
        <w:rPr>
          <w:rFonts w:ascii="Times New Roman" w:hAnsi="Times New Roman" w:cs="Times New Roman"/>
          <w:sz w:val="24"/>
          <w:szCs w:val="24"/>
        </w:rPr>
      </w:pPr>
    </w:p>
    <w:p w:rsidR="004116D4" w:rsidRDefault="00816DCE" w:rsidP="003D6DDA">
      <w:p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results in Table </w:t>
      </w:r>
      <w:r w:rsidR="004116D4" w:rsidRPr="003406EC">
        <w:rPr>
          <w:rFonts w:ascii="Times New Roman" w:hAnsi="Times New Roman" w:cs="Times New Roman"/>
          <w:sz w:val="24"/>
          <w:szCs w:val="24"/>
        </w:rPr>
        <w:t xml:space="preserve">4 summarize all findings of the GMM estimation for the listed firms in Bursa Malaysia, which show that the lagged cash ratio is part of the endogenous variables in this model, and is statistically significant at 0.1 with a positive sign. It shows that a dynamic relationship exists in this model; therefore the GMM estimation aids in enhancing the estimation of this regression. The coefficient of the lagged cash ratio for the listed firms in Bursa Malaysia is slightly higher compared will the listed firms in KOSE, exhibiting that the cash ratios for the listed firms in Bursa Malaysia are more likely to be affected by the lagged cash ratio, and in a relatively higher proportion. </w:t>
      </w:r>
    </w:p>
    <w:p w:rsidR="004D4E4C" w:rsidRPr="003406EC" w:rsidRDefault="004D4E4C" w:rsidP="003D6DDA">
      <w:pPr>
        <w:tabs>
          <w:tab w:val="left" w:pos="810"/>
        </w:tabs>
        <w:spacing w:after="0" w:line="240" w:lineRule="auto"/>
        <w:jc w:val="both"/>
        <w:rPr>
          <w:rFonts w:ascii="Times New Roman" w:hAnsi="Times New Roman" w:cs="Times New Roman"/>
          <w:sz w:val="24"/>
          <w:szCs w:val="24"/>
        </w:rPr>
      </w:pPr>
    </w:p>
    <w:p w:rsidR="004116D4" w:rsidRPr="003406EC" w:rsidRDefault="00E51CDE"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ab/>
      </w:r>
      <w:r w:rsidR="004116D4" w:rsidRPr="003406EC">
        <w:rPr>
          <w:rFonts w:ascii="Times New Roman" w:hAnsi="Times New Roman" w:cs="Times New Roman"/>
          <w:sz w:val="24"/>
          <w:szCs w:val="24"/>
        </w:rPr>
        <w:t xml:space="preserve">The liquidity and interest risk factors of the listed firms in Bursa Malaysia are statistically significant for all categories with a positive sign. Higher-cash firms have </w:t>
      </w:r>
      <w:r w:rsidR="004116D4" w:rsidRPr="006532F1">
        <w:rPr>
          <w:rFonts w:ascii="Times New Roman" w:hAnsi="Times New Roman" w:cs="Times New Roman"/>
          <w:strike/>
          <w:sz w:val="24"/>
          <w:szCs w:val="24"/>
        </w:rPr>
        <w:t>a</w:t>
      </w:r>
      <w:r w:rsidR="004116D4" w:rsidRPr="003406EC">
        <w:rPr>
          <w:rFonts w:ascii="Times New Roman" w:hAnsi="Times New Roman" w:cs="Times New Roman"/>
          <w:sz w:val="24"/>
          <w:szCs w:val="24"/>
        </w:rPr>
        <w:t xml:space="preserve"> higher coefficient of 0.0334 for the liquidity risk factor compared with the coefficient of low cash holding firms at 0.0055 in Bursa Malaysia. Relatively, high cash holding firms in Bursa Malaysia behave in a more risk-adverse manner than high cash holding firms in KOSE; the conservatism practice leads to </w:t>
      </w:r>
      <w:r w:rsidR="004116D4" w:rsidRPr="006532F1">
        <w:rPr>
          <w:rFonts w:ascii="Times New Roman" w:hAnsi="Times New Roman" w:cs="Times New Roman"/>
          <w:strike/>
          <w:sz w:val="24"/>
          <w:szCs w:val="24"/>
        </w:rPr>
        <w:t>a</w:t>
      </w:r>
      <w:r w:rsidR="004116D4" w:rsidRPr="003406EC">
        <w:rPr>
          <w:rFonts w:ascii="Times New Roman" w:hAnsi="Times New Roman" w:cs="Times New Roman"/>
          <w:sz w:val="24"/>
          <w:szCs w:val="24"/>
        </w:rPr>
        <w:t xml:space="preserve"> high response toward the increase of liquidity risk. As discussed in the earlier section, the coefficient of the liquidity factor indicates the response of firms towards the adjustment on cash ratio. The sensitivities of high cash holding firms and low cash holding firms toward liquidity factor are dissimilar with firms in KOSE. Somehow, high cash holding firms are seen as more capable in increasing cash by supportive cash management practices in their organization; thus the coefficient of the liquidity factor is higher for high cash holding firms that act conservative toward the possible damage for firms with high cash holding in Bursa Malaysia. </w:t>
      </w:r>
    </w:p>
    <w:p w:rsidR="004116D4" w:rsidRPr="003406EC" w:rsidRDefault="00B81D0A" w:rsidP="003D6DDA">
      <w:pPr>
        <w:tabs>
          <w:tab w:val="left" w:pos="81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(Insert table 4)</w:t>
      </w:r>
    </w:p>
    <w:p w:rsidR="004116D4" w:rsidRPr="003406EC" w:rsidRDefault="004116D4" w:rsidP="003D6DDA">
      <w:pPr>
        <w:tabs>
          <w:tab w:val="left" w:pos="810"/>
        </w:tabs>
        <w:spacing w:after="0" w:line="240" w:lineRule="auto"/>
        <w:jc w:val="both"/>
        <w:rPr>
          <w:rFonts w:ascii="Times New Roman" w:hAnsi="Times New Roman" w:cs="Times New Roman"/>
          <w:sz w:val="24"/>
          <w:szCs w:val="24"/>
        </w:rPr>
      </w:pPr>
    </w:p>
    <w:p w:rsidR="004116D4" w:rsidRDefault="004116D4" w:rsidP="003D6DDA">
      <w:pPr>
        <w:tabs>
          <w:tab w:val="left" w:pos="810"/>
        </w:tabs>
        <w:spacing w:after="0" w:line="240" w:lineRule="auto"/>
        <w:ind w:firstLine="709"/>
        <w:jc w:val="both"/>
        <w:rPr>
          <w:rFonts w:ascii="Times New Roman" w:hAnsi="Times New Roman" w:cs="Times New Roman"/>
          <w:sz w:val="24"/>
          <w:szCs w:val="24"/>
        </w:rPr>
      </w:pPr>
      <w:r w:rsidRPr="003406EC">
        <w:rPr>
          <w:rFonts w:ascii="Times New Roman" w:hAnsi="Times New Roman" w:cs="Times New Roman"/>
          <w:sz w:val="24"/>
          <w:szCs w:val="24"/>
        </w:rPr>
        <w:t>Repayment ability is positively significant with cash ratio of listed firms in Bursa Malaysia, which is consistent with the findings in the KOSE sample. The trend of coefficients for repayment ability factor of high cash holding firms and low cash holding firms in Bursa Malaysia are not alike with listed firms in KOSE. The coefficients of repayment ability for firms with low cash holding are decreasing from 0.0004 (model 1) to 0.0007 (model 2) after including the effect of macroeconomic risk factors. The changes of cash ratio in low cash holding firms might due to the risk-adverse and conservatism practice in listed firms of Bursa Malaysia. Generally the fluctuations of inflation and currency are associated with interest rate changes. Firms with low cash holding are adjusting their repayment ability according to the changes in inflation and currency risk fac</w:t>
      </w:r>
      <w:r w:rsidR="006532F1">
        <w:rPr>
          <w:rFonts w:ascii="Times New Roman" w:hAnsi="Times New Roman" w:cs="Times New Roman"/>
          <w:sz w:val="24"/>
          <w:szCs w:val="24"/>
        </w:rPr>
        <w:t>tors to avoid failure in fulfil</w:t>
      </w:r>
      <w:r w:rsidRPr="003406EC">
        <w:rPr>
          <w:rFonts w:ascii="Times New Roman" w:hAnsi="Times New Roman" w:cs="Times New Roman"/>
          <w:sz w:val="24"/>
          <w:szCs w:val="24"/>
        </w:rPr>
        <w:t xml:space="preserve"> interest expenses obligations which might turn them into default. Whereas the coefficients of repayment ability factor are consistent in model 1 and model 2 for firms with high cash holding in Bursa Malaysia. The unchanged coefficients for repayment ability factor in high cash holing firms in model 1 and model 2 might explained by sufficient liquid to meet the interest expenses obligations. Furthermore, firms with high cash holding usually involved in lesser debt and low interest payments therefore needless to adjust according to changes in macroeconomic risk factor.</w:t>
      </w:r>
    </w:p>
    <w:p w:rsidR="009E69E9" w:rsidRPr="003406EC" w:rsidRDefault="009E69E9" w:rsidP="003D6DDA">
      <w:pPr>
        <w:tabs>
          <w:tab w:val="left" w:pos="810"/>
        </w:tabs>
        <w:spacing w:after="0" w:line="240" w:lineRule="auto"/>
        <w:ind w:firstLine="709"/>
        <w:jc w:val="both"/>
        <w:rPr>
          <w:rFonts w:ascii="Times New Roman" w:hAnsi="Times New Roman" w:cs="Times New Roman"/>
          <w:sz w:val="24"/>
          <w:szCs w:val="24"/>
        </w:rPr>
      </w:pPr>
    </w:p>
    <w:p w:rsidR="004116D4" w:rsidRDefault="004116D4" w:rsidP="003D6DDA">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Unlike the findings in KOSE, low-cash holding firms are statistically significant to macroeconomic risk factors, inflation and currency risk factors. While there is no evidence found for high cash holding firms. The cash ratio of high cash holding firms in Bursa Malaysia is less </w:t>
      </w:r>
      <w:r w:rsidRPr="003406EC">
        <w:rPr>
          <w:rFonts w:ascii="Times New Roman" w:hAnsi="Times New Roman" w:cs="Times New Roman"/>
          <w:sz w:val="24"/>
          <w:szCs w:val="24"/>
        </w:rPr>
        <w:lastRenderedPageBreak/>
        <w:t>likely to be affected by its macroeconomic risk factors as the listed firms in Bursa Malaysia practice conservatism in cash management. The coefficient of 1.2102 for inflation risk is significant with a negative sign at 0.01 for low cash holding firms which show same sign compared with the inflation risk factors for high cash holding firms in KOSE. When the inflation risk is greater, low cash holding firms will further reduce the cash holdings to mitigate the loss of a drop in the value of cash and purchasing power.</w:t>
      </w:r>
    </w:p>
    <w:p w:rsidR="009E69E9" w:rsidRPr="003406EC" w:rsidRDefault="009E69E9" w:rsidP="003D6DDA">
      <w:pPr>
        <w:tabs>
          <w:tab w:val="left" w:pos="810"/>
        </w:tabs>
        <w:spacing w:after="0" w:line="240" w:lineRule="auto"/>
        <w:ind w:firstLine="720"/>
        <w:jc w:val="both"/>
        <w:rPr>
          <w:rFonts w:ascii="Times New Roman" w:hAnsi="Times New Roman" w:cs="Times New Roman"/>
          <w:sz w:val="24"/>
          <w:szCs w:val="24"/>
        </w:rPr>
      </w:pPr>
    </w:p>
    <w:p w:rsidR="004116D4" w:rsidRDefault="004116D4" w:rsidP="003D6DDA">
      <w:pPr>
        <w:tabs>
          <w:tab w:val="left" w:pos="810"/>
        </w:tabs>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The coefficient of 1.0299 with a positive sign for currency risk of low cash holding firms indicates that firms will hold more cash when the volatility of the exchange rate or the change of value in local currency is greater. Also, low cash holding firms expect local currency to depreciate; thus, the conversion of payment for import from other countries in foreign currency will be relatively expensive. Thus low cash holding firms will keep more cash holdings as a preparation for the unanticipated increase in daily transactions and obligations. The F-statistics are significant at 0.0</w:t>
      </w:r>
      <w:r w:rsidR="00816DCE">
        <w:rPr>
          <w:rFonts w:ascii="Times New Roman" w:hAnsi="Times New Roman" w:cs="Times New Roman"/>
          <w:sz w:val="24"/>
          <w:szCs w:val="24"/>
        </w:rPr>
        <w:t xml:space="preserve">001 for all models in Table </w:t>
      </w:r>
      <w:r w:rsidRPr="003406EC">
        <w:rPr>
          <w:rFonts w:ascii="Times New Roman" w:hAnsi="Times New Roman" w:cs="Times New Roman"/>
          <w:sz w:val="24"/>
          <w:szCs w:val="24"/>
        </w:rPr>
        <w:t>4.</w:t>
      </w:r>
    </w:p>
    <w:p w:rsidR="009E69E9" w:rsidRDefault="009E69E9" w:rsidP="003D6DDA">
      <w:pPr>
        <w:tabs>
          <w:tab w:val="left" w:pos="810"/>
        </w:tabs>
        <w:spacing w:after="0" w:line="240" w:lineRule="auto"/>
        <w:ind w:firstLine="720"/>
        <w:jc w:val="both"/>
        <w:rPr>
          <w:rFonts w:ascii="Times New Roman" w:hAnsi="Times New Roman" w:cs="Times New Roman"/>
          <w:sz w:val="24"/>
          <w:szCs w:val="24"/>
        </w:rPr>
      </w:pPr>
    </w:p>
    <w:p w:rsidR="009E69E9" w:rsidRPr="003406EC" w:rsidRDefault="009E69E9" w:rsidP="003D6DDA">
      <w:pPr>
        <w:tabs>
          <w:tab w:val="left" w:pos="810"/>
        </w:tabs>
        <w:spacing w:after="0" w:line="240" w:lineRule="auto"/>
        <w:ind w:firstLine="720"/>
        <w:jc w:val="both"/>
        <w:rPr>
          <w:rFonts w:ascii="Times New Roman" w:hAnsi="Times New Roman" w:cs="Times New Roman"/>
          <w:sz w:val="24"/>
          <w:szCs w:val="24"/>
        </w:rPr>
      </w:pPr>
    </w:p>
    <w:p w:rsidR="004116D4" w:rsidRDefault="00E51CDE" w:rsidP="003D6DDA">
      <w:pPr>
        <w:tabs>
          <w:tab w:val="left" w:pos="810"/>
        </w:tabs>
        <w:spacing w:after="0" w:line="240" w:lineRule="auto"/>
        <w:jc w:val="both"/>
        <w:rPr>
          <w:rFonts w:ascii="Times New Roman" w:hAnsi="Times New Roman" w:cs="Times New Roman"/>
          <w:b/>
          <w:sz w:val="24"/>
          <w:szCs w:val="24"/>
        </w:rPr>
      </w:pPr>
      <w:r w:rsidRPr="003406EC">
        <w:rPr>
          <w:rFonts w:ascii="Times New Roman" w:hAnsi="Times New Roman" w:cs="Times New Roman"/>
          <w:b/>
          <w:sz w:val="24"/>
          <w:szCs w:val="24"/>
        </w:rPr>
        <w:t xml:space="preserve">4.0 </w:t>
      </w:r>
      <w:r w:rsidR="00180A10" w:rsidRPr="003406EC">
        <w:rPr>
          <w:rFonts w:ascii="Times New Roman" w:hAnsi="Times New Roman" w:cs="Times New Roman"/>
          <w:b/>
          <w:sz w:val="24"/>
          <w:szCs w:val="24"/>
        </w:rPr>
        <w:t>Conclusion</w:t>
      </w:r>
    </w:p>
    <w:p w:rsidR="009E69E9" w:rsidRDefault="009E69E9" w:rsidP="003D6DDA">
      <w:pPr>
        <w:tabs>
          <w:tab w:val="left" w:pos="810"/>
        </w:tabs>
        <w:spacing w:after="0" w:line="240" w:lineRule="auto"/>
        <w:jc w:val="both"/>
        <w:rPr>
          <w:rFonts w:ascii="Times New Roman" w:hAnsi="Times New Roman" w:cs="Times New Roman"/>
          <w:b/>
          <w:sz w:val="24"/>
          <w:szCs w:val="24"/>
        </w:rPr>
      </w:pPr>
    </w:p>
    <w:p w:rsidR="009E69E9" w:rsidRPr="003406EC" w:rsidRDefault="009E69E9" w:rsidP="003D6DDA">
      <w:pPr>
        <w:tabs>
          <w:tab w:val="left" w:pos="810"/>
        </w:tabs>
        <w:spacing w:after="0" w:line="240" w:lineRule="auto"/>
        <w:jc w:val="both"/>
        <w:rPr>
          <w:rFonts w:ascii="Times New Roman" w:hAnsi="Times New Roman" w:cs="Times New Roman"/>
          <w:b/>
          <w:sz w:val="24"/>
          <w:szCs w:val="24"/>
        </w:rPr>
      </w:pPr>
    </w:p>
    <w:p w:rsidR="004116D4" w:rsidRDefault="004116D4"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This study attempts to identify the impact of financial ratios and risk factors on cash holdings, which is similar between KOSE and Bursa Malaysia. The results of panel regression, without considering the lagged effect of exogenous variables on the current stage, show that the liquidity ratio and repayment ability factor significantly impact the cash-holding decision. The results of this objective report that most of the external risk factors are significant for low cash holding firms in Bursa Malaysia (in fixed-effect regression and GMM estimation) and high cash holding firms in KOSE (in GMM estimation).</w:t>
      </w:r>
    </w:p>
    <w:p w:rsidR="009E69E9" w:rsidRDefault="009E69E9" w:rsidP="003D6DDA">
      <w:pPr>
        <w:tabs>
          <w:tab w:val="left" w:pos="810"/>
        </w:tabs>
        <w:spacing w:after="0" w:line="240" w:lineRule="auto"/>
        <w:jc w:val="both"/>
        <w:rPr>
          <w:rFonts w:ascii="Times New Roman" w:hAnsi="Times New Roman" w:cs="Times New Roman"/>
          <w:sz w:val="24"/>
          <w:szCs w:val="24"/>
        </w:rPr>
      </w:pPr>
    </w:p>
    <w:p w:rsidR="009E69E9" w:rsidRDefault="009E69E9" w:rsidP="003D6DDA">
      <w:pPr>
        <w:tabs>
          <w:tab w:val="left" w:pos="81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 xml:space="preserve">The limitation of this study is on the method use in testing the data. </w:t>
      </w:r>
      <w:r>
        <w:rPr>
          <w:rFonts w:ascii="Times New Roman" w:hAnsi="Times New Roman" w:cs="Times New Roman"/>
          <w:bCs/>
          <w:sz w:val="24"/>
          <w:szCs w:val="24"/>
        </w:rPr>
        <w:t>The reliability of GMM which applied in this study is under debated. The criticism is on the homogenous of the number of company, one of the assumption of GMM, is not valid. A new method named Pool Mean Group is introduced to overcome this issue. However, this study is unable to use the latest method due to unavailability of this method during the research period.</w:t>
      </w:r>
      <w:r w:rsidR="00F26416">
        <w:rPr>
          <w:rFonts w:ascii="Times New Roman" w:hAnsi="Times New Roman" w:cs="Times New Roman"/>
          <w:bCs/>
          <w:sz w:val="24"/>
          <w:szCs w:val="24"/>
        </w:rPr>
        <w:t xml:space="preserve"> </w:t>
      </w:r>
    </w:p>
    <w:p w:rsidR="00F26416" w:rsidRDefault="00F26416" w:rsidP="003D6DDA">
      <w:pPr>
        <w:tabs>
          <w:tab w:val="left" w:pos="810"/>
        </w:tabs>
        <w:spacing w:after="0" w:line="240" w:lineRule="auto"/>
        <w:jc w:val="both"/>
        <w:rPr>
          <w:rFonts w:ascii="Times New Roman" w:hAnsi="Times New Roman" w:cs="Times New Roman"/>
          <w:bCs/>
          <w:sz w:val="24"/>
          <w:szCs w:val="24"/>
        </w:rPr>
      </w:pPr>
    </w:p>
    <w:p w:rsidR="00F26416" w:rsidRPr="00120D30" w:rsidRDefault="00F26416" w:rsidP="00F26416">
      <w:pPr>
        <w:tabs>
          <w:tab w:val="left" w:pos="810"/>
        </w:tabs>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t>This study conducts preliminary research on the relationship among financial ratio, risk factors and firm-specific elements (cash holdings). Financial ratio and risk factors are usually linked with stock returns and management in past literature. The results of the study show that financial ratios and external risk factors (such as currency and inflation risk factors) that have often been overlooked in existing studies are significant with cash holdings. By connecting the risk factors to other significant variables in firm management, such as working capital, could give better explanation on the relationship between risk factors with important firm-specific elements. A good understanding between risk and firm-specific elements aids in enhancing the risk management.</w:t>
      </w:r>
    </w:p>
    <w:p w:rsidR="00F26416" w:rsidRPr="003406EC" w:rsidRDefault="00F26416"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spacing w:after="0" w:line="240" w:lineRule="auto"/>
        <w:rPr>
          <w:rFonts w:ascii="Times New Roman" w:hAnsi="Times New Roman" w:cs="Times New Roman"/>
          <w:b/>
          <w:sz w:val="24"/>
          <w:szCs w:val="24"/>
        </w:rPr>
      </w:pPr>
    </w:p>
    <w:p w:rsidR="004D4E4C" w:rsidRDefault="004D4E4C" w:rsidP="003D6DDA">
      <w:pPr>
        <w:spacing w:after="0" w:line="240" w:lineRule="auto"/>
        <w:rPr>
          <w:rFonts w:ascii="Times New Roman" w:hAnsi="Times New Roman" w:cs="Times New Roman"/>
          <w:b/>
          <w:sz w:val="24"/>
          <w:szCs w:val="24"/>
        </w:rPr>
      </w:pPr>
    </w:p>
    <w:p w:rsidR="004D4E4C" w:rsidRDefault="004D4E4C" w:rsidP="003D6DDA">
      <w:pPr>
        <w:spacing w:after="0" w:line="240" w:lineRule="auto"/>
        <w:rPr>
          <w:rFonts w:ascii="Times New Roman" w:hAnsi="Times New Roman" w:cs="Times New Roman"/>
          <w:b/>
          <w:sz w:val="24"/>
          <w:szCs w:val="24"/>
        </w:rPr>
      </w:pPr>
    </w:p>
    <w:p w:rsidR="00192B13" w:rsidRDefault="00180A10" w:rsidP="003D6DDA">
      <w:pPr>
        <w:spacing w:after="0" w:line="240" w:lineRule="auto"/>
        <w:jc w:val="center"/>
        <w:rPr>
          <w:rFonts w:ascii="Times New Roman" w:hAnsi="Times New Roman" w:cs="Times New Roman"/>
          <w:b/>
          <w:sz w:val="24"/>
          <w:szCs w:val="24"/>
        </w:rPr>
      </w:pPr>
      <w:r w:rsidRPr="003406EC">
        <w:rPr>
          <w:rFonts w:ascii="Times New Roman" w:hAnsi="Times New Roman" w:cs="Times New Roman"/>
          <w:b/>
          <w:sz w:val="24"/>
          <w:szCs w:val="24"/>
        </w:rPr>
        <w:lastRenderedPageBreak/>
        <w:t>References</w:t>
      </w:r>
    </w:p>
    <w:p w:rsidR="003406EC" w:rsidRDefault="003406EC" w:rsidP="003D6DDA">
      <w:pPr>
        <w:spacing w:after="0" w:line="240" w:lineRule="auto"/>
        <w:rPr>
          <w:rFonts w:ascii="Times New Roman" w:hAnsi="Times New Roman" w:cs="Times New Roman"/>
          <w:b/>
          <w:sz w:val="24"/>
          <w:szCs w:val="24"/>
        </w:rPr>
      </w:pPr>
    </w:p>
    <w:p w:rsidR="003406EC" w:rsidRPr="003406EC" w:rsidRDefault="003406EC" w:rsidP="003D6DDA">
      <w:pPr>
        <w:spacing w:after="0" w:line="240" w:lineRule="auto"/>
        <w:ind w:firstLine="720"/>
        <w:jc w:val="both"/>
        <w:rPr>
          <w:rFonts w:ascii="Times New Roman" w:hAnsi="Times New Roman" w:cs="Times New Roman"/>
          <w:sz w:val="24"/>
          <w:szCs w:val="24"/>
        </w:rPr>
      </w:pPr>
      <w:proofErr w:type="spellStart"/>
      <w:proofErr w:type="gramStart"/>
      <w:r w:rsidRPr="003406EC">
        <w:rPr>
          <w:rFonts w:ascii="Times New Roman" w:hAnsi="Times New Roman" w:cs="Times New Roman"/>
          <w:sz w:val="24"/>
          <w:szCs w:val="24"/>
        </w:rPr>
        <w:t>Acharya</w:t>
      </w:r>
      <w:proofErr w:type="spellEnd"/>
      <w:r w:rsidRPr="003406EC">
        <w:rPr>
          <w:rFonts w:ascii="Times New Roman" w:hAnsi="Times New Roman" w:cs="Times New Roman"/>
          <w:sz w:val="24"/>
          <w:szCs w:val="24"/>
        </w:rPr>
        <w:t xml:space="preserve">, V.V., </w:t>
      </w:r>
      <w:proofErr w:type="spellStart"/>
      <w:r w:rsidRPr="003406EC">
        <w:rPr>
          <w:rFonts w:ascii="Times New Roman" w:hAnsi="Times New Roman" w:cs="Times New Roman"/>
          <w:sz w:val="24"/>
          <w:szCs w:val="24"/>
        </w:rPr>
        <w:t>Davydenko</w:t>
      </w:r>
      <w:proofErr w:type="spellEnd"/>
      <w:r w:rsidRPr="003406EC">
        <w:rPr>
          <w:rFonts w:ascii="Times New Roman" w:hAnsi="Times New Roman" w:cs="Times New Roman"/>
          <w:sz w:val="24"/>
          <w:szCs w:val="24"/>
        </w:rPr>
        <w:t xml:space="preserve">, S.A. &amp; </w:t>
      </w:r>
      <w:proofErr w:type="spellStart"/>
      <w:r w:rsidRPr="003406EC">
        <w:rPr>
          <w:rFonts w:ascii="Times New Roman" w:hAnsi="Times New Roman" w:cs="Times New Roman"/>
          <w:sz w:val="24"/>
          <w:szCs w:val="24"/>
        </w:rPr>
        <w:t>Strebulaev</w:t>
      </w:r>
      <w:proofErr w:type="spellEnd"/>
      <w:r w:rsidRPr="003406EC">
        <w:rPr>
          <w:rFonts w:ascii="Times New Roman" w:hAnsi="Times New Roman" w:cs="Times New Roman"/>
          <w:sz w:val="24"/>
          <w:szCs w:val="24"/>
        </w:rPr>
        <w:t>, A.A. (2011).</w:t>
      </w:r>
      <w:proofErr w:type="gramEnd"/>
      <w:r w:rsidRPr="003406EC">
        <w:rPr>
          <w:rFonts w:ascii="Times New Roman" w:hAnsi="Times New Roman" w:cs="Times New Roman"/>
          <w:sz w:val="24"/>
          <w:szCs w:val="24"/>
        </w:rPr>
        <w:t xml:space="preserve"> Cash holdings and credit risk. NBER Working Paper No. 16995.</w:t>
      </w:r>
    </w:p>
    <w:p w:rsidR="003406EC" w:rsidRPr="003406EC" w:rsidRDefault="003406EC" w:rsidP="003D6DDA">
      <w:pPr>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Arellano, M. &amp; Bond, S. (1991). Some tests of specification for panel data: Monte Carlo evidence and an application to employment equations. Review of Economic Studies 8(2), 277 - 297.</w:t>
      </w:r>
    </w:p>
    <w:p w:rsidR="003406EC" w:rsidRPr="003406EC" w:rsidRDefault="003406EC" w:rsidP="003D6DDA">
      <w:pPr>
        <w:spacing w:after="0" w:line="240" w:lineRule="auto"/>
        <w:ind w:firstLine="720"/>
        <w:jc w:val="both"/>
        <w:rPr>
          <w:rFonts w:ascii="Times New Roman" w:hAnsi="Times New Roman" w:cs="Times New Roman"/>
          <w:sz w:val="24"/>
          <w:szCs w:val="24"/>
        </w:rPr>
      </w:pPr>
      <w:proofErr w:type="spellStart"/>
      <w:proofErr w:type="gramStart"/>
      <w:r w:rsidRPr="003406EC">
        <w:rPr>
          <w:rFonts w:ascii="Times New Roman" w:hAnsi="Times New Roman" w:cs="Times New Roman"/>
          <w:sz w:val="24"/>
          <w:szCs w:val="24"/>
        </w:rPr>
        <w:t>Ariff</w:t>
      </w:r>
      <w:proofErr w:type="spellEnd"/>
      <w:r w:rsidRPr="003406EC">
        <w:rPr>
          <w:rFonts w:ascii="Times New Roman" w:hAnsi="Times New Roman" w:cs="Times New Roman"/>
          <w:sz w:val="24"/>
          <w:szCs w:val="24"/>
        </w:rPr>
        <w:t>, M., Cheng, F.F. &amp; Soh W.N. (2013).</w:t>
      </w:r>
      <w:proofErr w:type="gramEnd"/>
      <w:r w:rsidRPr="003406EC">
        <w:rPr>
          <w:rFonts w:ascii="Times New Roman" w:hAnsi="Times New Roman" w:cs="Times New Roman"/>
          <w:sz w:val="24"/>
          <w:szCs w:val="24"/>
        </w:rPr>
        <w:t xml:space="preserve"> Earnings response coefficients of OECD banks: test extended to include bank risk factors. </w:t>
      </w:r>
      <w:proofErr w:type="gramStart"/>
      <w:r w:rsidRPr="003406EC">
        <w:rPr>
          <w:rFonts w:ascii="Times New Roman" w:hAnsi="Times New Roman" w:cs="Times New Roman"/>
          <w:sz w:val="24"/>
          <w:szCs w:val="24"/>
        </w:rPr>
        <w:t>Advances in Accounting 29, 97-107.</w:t>
      </w:r>
      <w:proofErr w:type="gramEnd"/>
      <w:r w:rsidRPr="003406EC">
        <w:rPr>
          <w:rFonts w:ascii="Times New Roman" w:hAnsi="Times New Roman" w:cs="Times New Roman"/>
          <w:sz w:val="24"/>
          <w:szCs w:val="24"/>
        </w:rPr>
        <w:t> </w:t>
      </w:r>
    </w:p>
    <w:p w:rsidR="003406EC" w:rsidRPr="003406EC" w:rsidRDefault="003406EC" w:rsidP="003D6DDA">
      <w:pPr>
        <w:spacing w:after="0" w:line="240" w:lineRule="auto"/>
        <w:ind w:firstLine="720"/>
        <w:jc w:val="both"/>
        <w:rPr>
          <w:rFonts w:ascii="Times New Roman" w:hAnsi="Times New Roman" w:cs="Times New Roman"/>
          <w:sz w:val="24"/>
          <w:szCs w:val="24"/>
        </w:rPr>
      </w:pPr>
      <w:proofErr w:type="gramStart"/>
      <w:r w:rsidRPr="003406EC">
        <w:rPr>
          <w:rFonts w:ascii="Times New Roman" w:hAnsi="Times New Roman" w:cs="Times New Roman"/>
          <w:sz w:val="24"/>
          <w:szCs w:val="24"/>
        </w:rPr>
        <w:t>Arnold, M. (2014).</w:t>
      </w:r>
      <w:proofErr w:type="gramEnd"/>
      <w:r w:rsidRPr="003406EC">
        <w:rPr>
          <w:rFonts w:ascii="Times New Roman" w:hAnsi="Times New Roman" w:cs="Times New Roman"/>
          <w:sz w:val="24"/>
          <w:szCs w:val="24"/>
        </w:rPr>
        <w:t xml:space="preserve"> Managerial cash use, default, and corporate financial policies. </w:t>
      </w:r>
      <w:proofErr w:type="gramStart"/>
      <w:r w:rsidRPr="003406EC">
        <w:rPr>
          <w:rFonts w:ascii="Times New Roman" w:hAnsi="Times New Roman" w:cs="Times New Roman"/>
          <w:sz w:val="24"/>
          <w:szCs w:val="24"/>
        </w:rPr>
        <w:t>Journal of Corporate Finance, Forthcoming.</w:t>
      </w:r>
      <w:proofErr w:type="gramEnd"/>
    </w:p>
    <w:p w:rsidR="003406EC" w:rsidRPr="003406EC" w:rsidRDefault="003406EC" w:rsidP="003D6DDA">
      <w:pPr>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Bartram, S.M. (2000). </w:t>
      </w:r>
      <w:proofErr w:type="gramStart"/>
      <w:r w:rsidRPr="003406EC">
        <w:rPr>
          <w:rFonts w:ascii="Times New Roman" w:hAnsi="Times New Roman" w:cs="Times New Roman"/>
          <w:sz w:val="24"/>
          <w:szCs w:val="24"/>
        </w:rPr>
        <w:t>Corporate risk management as a lever for shareholder value creation.</w:t>
      </w:r>
      <w:proofErr w:type="gramEnd"/>
      <w:r w:rsidRPr="003406EC">
        <w:rPr>
          <w:rFonts w:ascii="Times New Roman" w:hAnsi="Times New Roman" w:cs="Times New Roman"/>
          <w:sz w:val="24"/>
          <w:szCs w:val="24"/>
        </w:rPr>
        <w:t xml:space="preserve"> Financial Markets, Institutions &amp; Instruments 9, 279-324. </w:t>
      </w:r>
      <w:proofErr w:type="spellStart"/>
      <w:proofErr w:type="gramStart"/>
      <w:r w:rsidRPr="003406EC">
        <w:rPr>
          <w:rFonts w:ascii="Times New Roman" w:hAnsi="Times New Roman" w:cs="Times New Roman"/>
          <w:sz w:val="24"/>
          <w:szCs w:val="24"/>
        </w:rPr>
        <w:t>doi</w:t>
      </w:r>
      <w:proofErr w:type="spellEnd"/>
      <w:proofErr w:type="gramEnd"/>
      <w:r w:rsidRPr="003406EC">
        <w:rPr>
          <w:rFonts w:ascii="Times New Roman" w:hAnsi="Times New Roman" w:cs="Times New Roman"/>
          <w:sz w:val="24"/>
          <w:szCs w:val="24"/>
        </w:rPr>
        <w:t>: 10.1111/1468-0416.00038</w:t>
      </w:r>
    </w:p>
    <w:p w:rsidR="003406EC" w:rsidRPr="003406EC" w:rsidRDefault="003406EC" w:rsidP="003D6DDA">
      <w:pPr>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Bond, S. R. (2002). Dynamic panel data model: A guide to micro data methods and practice. Portuguese Economic Journal 1, 141-162.</w:t>
      </w:r>
    </w:p>
    <w:p w:rsidR="003406EC" w:rsidRPr="003406EC" w:rsidRDefault="003406EC" w:rsidP="003D6DDA">
      <w:pPr>
        <w:spacing w:after="0" w:line="240" w:lineRule="auto"/>
        <w:ind w:firstLine="720"/>
        <w:jc w:val="both"/>
        <w:rPr>
          <w:rFonts w:ascii="Times New Roman" w:hAnsi="Times New Roman" w:cs="Times New Roman"/>
          <w:sz w:val="24"/>
          <w:szCs w:val="24"/>
        </w:rPr>
      </w:pPr>
      <w:proofErr w:type="gramStart"/>
      <w:r w:rsidRPr="003406EC">
        <w:rPr>
          <w:rFonts w:ascii="Times New Roman" w:hAnsi="Times New Roman" w:cs="Times New Roman"/>
          <w:sz w:val="24"/>
          <w:szCs w:val="24"/>
        </w:rPr>
        <w:t>Chang, W.Y, Hsieh Y.N. &amp; Lai C.C. (2000).</w:t>
      </w:r>
      <w:proofErr w:type="gramEnd"/>
      <w:r w:rsidRPr="003406EC">
        <w:rPr>
          <w:rFonts w:ascii="Times New Roman" w:hAnsi="Times New Roman" w:cs="Times New Roman"/>
          <w:sz w:val="24"/>
          <w:szCs w:val="24"/>
        </w:rPr>
        <w:t xml:space="preserve"> Social Status, Inflation and Endogenous Growth in </w:t>
      </w:r>
      <w:proofErr w:type="gramStart"/>
      <w:r w:rsidRPr="003406EC">
        <w:rPr>
          <w:rFonts w:ascii="Times New Roman" w:hAnsi="Times New Roman" w:cs="Times New Roman"/>
          <w:sz w:val="24"/>
          <w:szCs w:val="24"/>
        </w:rPr>
        <w:t>A</w:t>
      </w:r>
      <w:proofErr w:type="gramEnd"/>
      <w:r w:rsidRPr="003406EC">
        <w:rPr>
          <w:rFonts w:ascii="Times New Roman" w:hAnsi="Times New Roman" w:cs="Times New Roman"/>
          <w:sz w:val="24"/>
          <w:szCs w:val="24"/>
        </w:rPr>
        <w:t xml:space="preserve"> Cash-in-Advance Economy, European Journal of Political Economy 16, 535-545.</w:t>
      </w:r>
    </w:p>
    <w:p w:rsidR="003406EC" w:rsidRPr="003406EC" w:rsidRDefault="003406EC" w:rsidP="003D6DDA">
      <w:pPr>
        <w:spacing w:after="0" w:line="240" w:lineRule="auto"/>
        <w:ind w:firstLine="720"/>
        <w:jc w:val="both"/>
        <w:rPr>
          <w:rFonts w:ascii="Times New Roman" w:hAnsi="Times New Roman" w:cs="Times New Roman"/>
          <w:sz w:val="24"/>
          <w:szCs w:val="24"/>
        </w:rPr>
      </w:pPr>
      <w:proofErr w:type="gramStart"/>
      <w:r w:rsidRPr="003406EC">
        <w:rPr>
          <w:rFonts w:ascii="Times New Roman" w:hAnsi="Times New Roman" w:cs="Times New Roman"/>
          <w:sz w:val="24"/>
          <w:szCs w:val="24"/>
        </w:rPr>
        <w:t>Chen, N. &amp; Mahajan, A. (2010).</w:t>
      </w:r>
      <w:proofErr w:type="gramEnd"/>
      <w:r w:rsidRPr="003406EC">
        <w:rPr>
          <w:rFonts w:ascii="Times New Roman" w:hAnsi="Times New Roman" w:cs="Times New Roman"/>
          <w:sz w:val="24"/>
          <w:szCs w:val="24"/>
        </w:rPr>
        <w:t xml:space="preserve"> </w:t>
      </w:r>
      <w:proofErr w:type="gramStart"/>
      <w:r w:rsidRPr="003406EC">
        <w:rPr>
          <w:rFonts w:ascii="Times New Roman" w:hAnsi="Times New Roman" w:cs="Times New Roman"/>
          <w:sz w:val="24"/>
          <w:szCs w:val="24"/>
        </w:rPr>
        <w:t>Effects of macroeconomic conditions on corporate liquidity - international evidence.</w:t>
      </w:r>
      <w:proofErr w:type="gramEnd"/>
      <w:r w:rsidRPr="003406EC">
        <w:rPr>
          <w:rFonts w:ascii="Times New Roman" w:hAnsi="Times New Roman" w:cs="Times New Roman"/>
          <w:sz w:val="24"/>
          <w:szCs w:val="24"/>
        </w:rPr>
        <w:t xml:space="preserve"> International Research Journal of Finance and </w:t>
      </w:r>
      <w:proofErr w:type="spellStart"/>
      <w:r w:rsidRPr="003406EC">
        <w:rPr>
          <w:rFonts w:ascii="Times New Roman" w:hAnsi="Times New Roman" w:cs="Times New Roman"/>
          <w:sz w:val="24"/>
          <w:szCs w:val="24"/>
        </w:rPr>
        <w:t>Economcs</w:t>
      </w:r>
      <w:proofErr w:type="spellEnd"/>
      <w:r w:rsidRPr="003406EC">
        <w:rPr>
          <w:rFonts w:ascii="Times New Roman" w:hAnsi="Times New Roman" w:cs="Times New Roman"/>
          <w:sz w:val="24"/>
          <w:szCs w:val="24"/>
        </w:rPr>
        <w:t xml:space="preserve"> 35, 112-129.</w:t>
      </w:r>
    </w:p>
    <w:p w:rsidR="003406EC" w:rsidRPr="003406EC" w:rsidRDefault="003406EC" w:rsidP="003D6DDA">
      <w:pPr>
        <w:spacing w:after="0" w:line="240" w:lineRule="auto"/>
        <w:ind w:firstLine="720"/>
        <w:jc w:val="both"/>
        <w:rPr>
          <w:rFonts w:ascii="Times New Roman" w:hAnsi="Times New Roman" w:cs="Times New Roman"/>
          <w:sz w:val="24"/>
          <w:szCs w:val="24"/>
        </w:rPr>
      </w:pPr>
      <w:proofErr w:type="gramStart"/>
      <w:r w:rsidRPr="003406EC">
        <w:rPr>
          <w:rFonts w:ascii="Times New Roman" w:hAnsi="Times New Roman" w:cs="Times New Roman"/>
          <w:sz w:val="24"/>
          <w:szCs w:val="24"/>
        </w:rPr>
        <w:t>Desai, H. &amp; Jain P. (1999).</w:t>
      </w:r>
      <w:proofErr w:type="gramEnd"/>
      <w:r w:rsidRPr="003406EC">
        <w:rPr>
          <w:rFonts w:ascii="Times New Roman" w:hAnsi="Times New Roman" w:cs="Times New Roman"/>
          <w:sz w:val="24"/>
          <w:szCs w:val="24"/>
        </w:rPr>
        <w:t xml:space="preserve"> Firm performance and focus: Long run stock market performance following spinoffs, Journal of Financial Economics 54, 75-101. </w:t>
      </w:r>
    </w:p>
    <w:p w:rsidR="003406EC" w:rsidRPr="003406EC" w:rsidRDefault="003406EC" w:rsidP="003D6DDA">
      <w:pPr>
        <w:spacing w:after="0" w:line="240" w:lineRule="auto"/>
        <w:ind w:firstLine="720"/>
        <w:jc w:val="both"/>
        <w:rPr>
          <w:rFonts w:ascii="Times New Roman" w:hAnsi="Times New Roman" w:cs="Times New Roman"/>
          <w:sz w:val="24"/>
          <w:szCs w:val="24"/>
        </w:rPr>
      </w:pPr>
      <w:proofErr w:type="spellStart"/>
      <w:proofErr w:type="gramStart"/>
      <w:r w:rsidRPr="003406EC">
        <w:rPr>
          <w:rFonts w:ascii="Times New Roman" w:hAnsi="Times New Roman" w:cs="Times New Roman"/>
          <w:sz w:val="24"/>
          <w:szCs w:val="24"/>
        </w:rPr>
        <w:t>Dotsey</w:t>
      </w:r>
      <w:proofErr w:type="spellEnd"/>
      <w:r w:rsidRPr="003406EC">
        <w:rPr>
          <w:rFonts w:ascii="Times New Roman" w:hAnsi="Times New Roman" w:cs="Times New Roman"/>
          <w:sz w:val="24"/>
          <w:szCs w:val="24"/>
        </w:rPr>
        <w:t xml:space="preserve">, M. &amp; </w:t>
      </w:r>
      <w:proofErr w:type="spellStart"/>
      <w:r w:rsidRPr="003406EC">
        <w:rPr>
          <w:rFonts w:ascii="Times New Roman" w:hAnsi="Times New Roman" w:cs="Times New Roman"/>
          <w:sz w:val="24"/>
          <w:szCs w:val="24"/>
        </w:rPr>
        <w:t>Sarte</w:t>
      </w:r>
      <w:proofErr w:type="spellEnd"/>
      <w:r w:rsidRPr="003406EC">
        <w:rPr>
          <w:rFonts w:ascii="Times New Roman" w:hAnsi="Times New Roman" w:cs="Times New Roman"/>
          <w:sz w:val="24"/>
          <w:szCs w:val="24"/>
        </w:rPr>
        <w:t>, P.D. (2000).</w:t>
      </w:r>
      <w:proofErr w:type="gramEnd"/>
      <w:r w:rsidRPr="003406EC">
        <w:rPr>
          <w:rFonts w:ascii="Times New Roman" w:hAnsi="Times New Roman" w:cs="Times New Roman"/>
          <w:sz w:val="24"/>
          <w:szCs w:val="24"/>
        </w:rPr>
        <w:t xml:space="preserve"> </w:t>
      </w:r>
      <w:proofErr w:type="gramStart"/>
      <w:r w:rsidRPr="003406EC">
        <w:rPr>
          <w:rFonts w:ascii="Times New Roman" w:hAnsi="Times New Roman" w:cs="Times New Roman"/>
          <w:sz w:val="24"/>
          <w:szCs w:val="24"/>
        </w:rPr>
        <w:t>Inflation uncertainty and growth in a cash-in-advance economy.</w:t>
      </w:r>
      <w:proofErr w:type="gramEnd"/>
      <w:r w:rsidRPr="003406EC">
        <w:rPr>
          <w:rFonts w:ascii="Times New Roman" w:hAnsi="Times New Roman" w:cs="Times New Roman"/>
          <w:sz w:val="24"/>
          <w:szCs w:val="24"/>
        </w:rPr>
        <w:t xml:space="preserve"> Journal of Monetary Economics 45(3), 631-655. </w:t>
      </w:r>
    </w:p>
    <w:p w:rsidR="003406EC" w:rsidRPr="003406EC" w:rsidRDefault="003406EC" w:rsidP="003D6DDA">
      <w:pPr>
        <w:spacing w:after="0" w:line="240" w:lineRule="auto"/>
        <w:ind w:firstLine="720"/>
        <w:jc w:val="both"/>
        <w:rPr>
          <w:rFonts w:ascii="Times New Roman" w:hAnsi="Times New Roman" w:cs="Times New Roman"/>
          <w:sz w:val="24"/>
          <w:szCs w:val="24"/>
        </w:rPr>
      </w:pPr>
      <w:proofErr w:type="spellStart"/>
      <w:proofErr w:type="gramStart"/>
      <w:r w:rsidRPr="003406EC">
        <w:rPr>
          <w:rFonts w:ascii="Times New Roman" w:hAnsi="Times New Roman" w:cs="Times New Roman"/>
          <w:sz w:val="24"/>
          <w:szCs w:val="24"/>
        </w:rPr>
        <w:t>Ghoshal</w:t>
      </w:r>
      <w:proofErr w:type="spellEnd"/>
      <w:r w:rsidRPr="003406EC">
        <w:rPr>
          <w:rFonts w:ascii="Times New Roman" w:hAnsi="Times New Roman" w:cs="Times New Roman"/>
          <w:sz w:val="24"/>
          <w:szCs w:val="24"/>
        </w:rPr>
        <w:t>, S. (1987).</w:t>
      </w:r>
      <w:proofErr w:type="gramEnd"/>
      <w:r w:rsidRPr="003406EC">
        <w:rPr>
          <w:rFonts w:ascii="Times New Roman" w:hAnsi="Times New Roman" w:cs="Times New Roman"/>
          <w:sz w:val="24"/>
          <w:szCs w:val="24"/>
        </w:rPr>
        <w:t xml:space="preserve"> Global strategy: an organizing framework. </w:t>
      </w:r>
      <w:proofErr w:type="gramStart"/>
      <w:r w:rsidRPr="003406EC">
        <w:rPr>
          <w:rFonts w:ascii="Times New Roman" w:hAnsi="Times New Roman" w:cs="Times New Roman"/>
          <w:sz w:val="24"/>
          <w:szCs w:val="24"/>
        </w:rPr>
        <w:t>Strategic Management Journal 8, 425-40.</w:t>
      </w:r>
      <w:proofErr w:type="gramEnd"/>
    </w:p>
    <w:p w:rsidR="003406EC" w:rsidRPr="003406EC" w:rsidRDefault="003406EC" w:rsidP="003D6DDA">
      <w:pPr>
        <w:spacing w:after="0" w:line="240" w:lineRule="auto"/>
        <w:ind w:firstLine="720"/>
        <w:jc w:val="both"/>
        <w:rPr>
          <w:rFonts w:ascii="Times New Roman" w:hAnsi="Times New Roman" w:cs="Times New Roman"/>
          <w:sz w:val="24"/>
          <w:szCs w:val="24"/>
        </w:rPr>
      </w:pPr>
      <w:proofErr w:type="spellStart"/>
      <w:proofErr w:type="gramStart"/>
      <w:r w:rsidRPr="003406EC">
        <w:rPr>
          <w:rFonts w:ascii="Times New Roman" w:hAnsi="Times New Roman" w:cs="Times New Roman"/>
          <w:sz w:val="24"/>
          <w:szCs w:val="24"/>
        </w:rPr>
        <w:t>Guldimann</w:t>
      </w:r>
      <w:proofErr w:type="spellEnd"/>
      <w:r w:rsidRPr="003406EC">
        <w:rPr>
          <w:rFonts w:ascii="Times New Roman" w:hAnsi="Times New Roman" w:cs="Times New Roman"/>
          <w:sz w:val="24"/>
          <w:szCs w:val="24"/>
        </w:rPr>
        <w:t>, T. (1994).</w:t>
      </w:r>
      <w:proofErr w:type="gramEnd"/>
      <w:r w:rsidRPr="003406EC">
        <w:rPr>
          <w:rFonts w:ascii="Times New Roman" w:hAnsi="Times New Roman" w:cs="Times New Roman"/>
          <w:sz w:val="24"/>
          <w:szCs w:val="24"/>
        </w:rPr>
        <w:t xml:space="preserve"> </w:t>
      </w:r>
      <w:proofErr w:type="gramStart"/>
      <w:r w:rsidRPr="003406EC">
        <w:rPr>
          <w:rFonts w:ascii="Times New Roman" w:hAnsi="Times New Roman" w:cs="Times New Roman"/>
          <w:sz w:val="24"/>
          <w:szCs w:val="24"/>
        </w:rPr>
        <w:t>Introduction.</w:t>
      </w:r>
      <w:proofErr w:type="gramEnd"/>
      <w:r w:rsidRPr="003406EC">
        <w:rPr>
          <w:rFonts w:ascii="Times New Roman" w:hAnsi="Times New Roman" w:cs="Times New Roman"/>
          <w:sz w:val="24"/>
          <w:szCs w:val="24"/>
        </w:rPr>
        <w:t xml:space="preserve"> </w:t>
      </w:r>
      <w:proofErr w:type="gramStart"/>
      <w:r w:rsidRPr="003406EC">
        <w:rPr>
          <w:rFonts w:ascii="Times New Roman" w:hAnsi="Times New Roman" w:cs="Times New Roman"/>
          <w:sz w:val="24"/>
          <w:szCs w:val="24"/>
        </w:rPr>
        <w:t>In risk metrics technical document.</w:t>
      </w:r>
      <w:proofErr w:type="gramEnd"/>
      <w:r w:rsidRPr="003406EC">
        <w:rPr>
          <w:rFonts w:ascii="Times New Roman" w:hAnsi="Times New Roman" w:cs="Times New Roman"/>
          <w:sz w:val="24"/>
          <w:szCs w:val="24"/>
        </w:rPr>
        <w:t xml:space="preserve"> </w:t>
      </w:r>
      <w:proofErr w:type="gramStart"/>
      <w:r w:rsidRPr="003406EC">
        <w:rPr>
          <w:rFonts w:ascii="Times New Roman" w:hAnsi="Times New Roman" w:cs="Times New Roman"/>
          <w:sz w:val="24"/>
          <w:szCs w:val="24"/>
        </w:rPr>
        <w:t>Second edition.</w:t>
      </w:r>
      <w:proofErr w:type="gramEnd"/>
      <w:r w:rsidRPr="003406EC">
        <w:rPr>
          <w:rFonts w:ascii="Times New Roman" w:hAnsi="Times New Roman" w:cs="Times New Roman"/>
          <w:sz w:val="24"/>
          <w:szCs w:val="24"/>
        </w:rPr>
        <w:t xml:space="preserve"> Morgan Guarantee: New York.</w:t>
      </w:r>
    </w:p>
    <w:p w:rsidR="003406EC" w:rsidRPr="003406EC" w:rsidRDefault="003406EC" w:rsidP="003D6DDA">
      <w:pPr>
        <w:spacing w:after="0" w:line="240" w:lineRule="auto"/>
        <w:ind w:firstLine="720"/>
        <w:jc w:val="both"/>
        <w:rPr>
          <w:rFonts w:ascii="Times New Roman" w:hAnsi="Times New Roman" w:cs="Times New Roman"/>
          <w:sz w:val="24"/>
          <w:szCs w:val="24"/>
        </w:rPr>
      </w:pPr>
      <w:proofErr w:type="gramStart"/>
      <w:r w:rsidRPr="003406EC">
        <w:rPr>
          <w:rFonts w:ascii="Times New Roman" w:hAnsi="Times New Roman" w:cs="Times New Roman"/>
          <w:sz w:val="24"/>
          <w:szCs w:val="24"/>
        </w:rPr>
        <w:t xml:space="preserve">Kim, C.S., </w:t>
      </w:r>
      <w:proofErr w:type="spellStart"/>
      <w:r w:rsidRPr="003406EC">
        <w:rPr>
          <w:rFonts w:ascii="Times New Roman" w:hAnsi="Times New Roman" w:cs="Times New Roman"/>
          <w:sz w:val="24"/>
          <w:szCs w:val="24"/>
        </w:rPr>
        <w:t>Mauer</w:t>
      </w:r>
      <w:proofErr w:type="spellEnd"/>
      <w:r w:rsidRPr="003406EC">
        <w:rPr>
          <w:rFonts w:ascii="Times New Roman" w:hAnsi="Times New Roman" w:cs="Times New Roman"/>
          <w:sz w:val="24"/>
          <w:szCs w:val="24"/>
        </w:rPr>
        <w:t>, D.C., &amp; Sherman, A.E. (1998).</w:t>
      </w:r>
      <w:proofErr w:type="gramEnd"/>
      <w:r w:rsidRPr="003406EC">
        <w:rPr>
          <w:rFonts w:ascii="Times New Roman" w:hAnsi="Times New Roman" w:cs="Times New Roman"/>
          <w:sz w:val="24"/>
          <w:szCs w:val="24"/>
        </w:rPr>
        <w:t xml:space="preserve"> The determinants of corporate liquidity: theory and evidence. Journal of Financial and Quantitative Analysis 33, 335-359.</w:t>
      </w:r>
    </w:p>
    <w:p w:rsidR="003406EC" w:rsidRPr="003406EC" w:rsidRDefault="003406EC" w:rsidP="003D6DDA">
      <w:pPr>
        <w:spacing w:after="0" w:line="240" w:lineRule="auto"/>
        <w:ind w:firstLine="720"/>
        <w:jc w:val="both"/>
        <w:rPr>
          <w:rFonts w:ascii="Times New Roman" w:hAnsi="Times New Roman" w:cs="Times New Roman"/>
          <w:sz w:val="24"/>
          <w:szCs w:val="24"/>
        </w:rPr>
      </w:pPr>
      <w:proofErr w:type="spellStart"/>
      <w:proofErr w:type="gramStart"/>
      <w:r w:rsidRPr="003406EC">
        <w:rPr>
          <w:rFonts w:ascii="Times New Roman" w:hAnsi="Times New Roman" w:cs="Times New Roman"/>
          <w:sz w:val="24"/>
          <w:szCs w:val="24"/>
        </w:rPr>
        <w:t>Mamdouh</w:t>
      </w:r>
      <w:proofErr w:type="spellEnd"/>
      <w:r w:rsidRPr="003406EC">
        <w:rPr>
          <w:rFonts w:ascii="Times New Roman" w:hAnsi="Times New Roman" w:cs="Times New Roman"/>
          <w:sz w:val="24"/>
          <w:szCs w:val="24"/>
        </w:rPr>
        <w:t>, M. (2014).</w:t>
      </w:r>
      <w:proofErr w:type="gramEnd"/>
      <w:r w:rsidRPr="003406EC">
        <w:rPr>
          <w:rFonts w:ascii="Times New Roman" w:hAnsi="Times New Roman" w:cs="Times New Roman"/>
          <w:sz w:val="24"/>
          <w:szCs w:val="24"/>
        </w:rPr>
        <w:t xml:space="preserve"> </w:t>
      </w:r>
      <w:proofErr w:type="gramStart"/>
      <w:r w:rsidRPr="003406EC">
        <w:rPr>
          <w:rFonts w:ascii="Times New Roman" w:hAnsi="Times New Roman" w:cs="Times New Roman"/>
          <w:sz w:val="24"/>
          <w:szCs w:val="24"/>
        </w:rPr>
        <w:t>Liquidity risk and distressed equity.</w:t>
      </w:r>
      <w:proofErr w:type="gramEnd"/>
      <w:r w:rsidRPr="003406EC">
        <w:rPr>
          <w:rFonts w:ascii="Times New Roman" w:hAnsi="Times New Roman" w:cs="Times New Roman"/>
          <w:sz w:val="24"/>
          <w:szCs w:val="24"/>
        </w:rPr>
        <w:t xml:space="preserve"> </w:t>
      </w:r>
      <w:proofErr w:type="gramStart"/>
      <w:r w:rsidRPr="003406EC">
        <w:rPr>
          <w:rFonts w:ascii="Times New Roman" w:hAnsi="Times New Roman" w:cs="Times New Roman"/>
          <w:sz w:val="24"/>
          <w:szCs w:val="24"/>
        </w:rPr>
        <w:t>Job Market Paper for the 2015 Academic Job Market.</w:t>
      </w:r>
      <w:proofErr w:type="gramEnd"/>
    </w:p>
    <w:p w:rsidR="003406EC" w:rsidRPr="003406EC" w:rsidRDefault="003406EC" w:rsidP="003D6DDA">
      <w:pPr>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Miller, K.D. (1992). </w:t>
      </w:r>
      <w:proofErr w:type="gramStart"/>
      <w:r w:rsidRPr="003406EC">
        <w:rPr>
          <w:rFonts w:ascii="Times New Roman" w:hAnsi="Times New Roman" w:cs="Times New Roman"/>
          <w:sz w:val="24"/>
          <w:szCs w:val="24"/>
        </w:rPr>
        <w:t>A framework for integrated risk management in international business, Journal of International Business Studies 23(2), 311-331.</w:t>
      </w:r>
      <w:proofErr w:type="gramEnd"/>
    </w:p>
    <w:p w:rsidR="003406EC" w:rsidRPr="003406EC" w:rsidRDefault="003406EC" w:rsidP="003D6DDA">
      <w:pPr>
        <w:spacing w:after="0" w:line="240" w:lineRule="auto"/>
        <w:ind w:firstLine="720"/>
        <w:jc w:val="both"/>
        <w:rPr>
          <w:rFonts w:ascii="Times New Roman" w:hAnsi="Times New Roman" w:cs="Times New Roman"/>
          <w:sz w:val="24"/>
          <w:szCs w:val="24"/>
        </w:rPr>
      </w:pPr>
      <w:proofErr w:type="spellStart"/>
      <w:r w:rsidRPr="003406EC">
        <w:rPr>
          <w:rFonts w:ascii="Times New Roman" w:hAnsi="Times New Roman" w:cs="Times New Roman"/>
          <w:sz w:val="24"/>
          <w:szCs w:val="24"/>
        </w:rPr>
        <w:t>Oxelheim</w:t>
      </w:r>
      <w:proofErr w:type="spellEnd"/>
      <w:r w:rsidRPr="003406EC">
        <w:rPr>
          <w:rFonts w:ascii="Times New Roman" w:hAnsi="Times New Roman" w:cs="Times New Roman"/>
          <w:sz w:val="24"/>
          <w:szCs w:val="24"/>
        </w:rPr>
        <w:t xml:space="preserve">, L. &amp; </w:t>
      </w:r>
      <w:proofErr w:type="spellStart"/>
      <w:r w:rsidRPr="003406EC">
        <w:rPr>
          <w:rFonts w:ascii="Times New Roman" w:hAnsi="Times New Roman" w:cs="Times New Roman"/>
          <w:sz w:val="24"/>
          <w:szCs w:val="24"/>
        </w:rPr>
        <w:t>Clas</w:t>
      </w:r>
      <w:proofErr w:type="spellEnd"/>
      <w:r w:rsidRPr="003406EC">
        <w:rPr>
          <w:rFonts w:ascii="Times New Roman" w:hAnsi="Times New Roman" w:cs="Times New Roman"/>
          <w:sz w:val="24"/>
          <w:szCs w:val="24"/>
        </w:rPr>
        <w:t xml:space="preserve"> G.W. (1987). Macroeconomic Uncertainty: International Risks and Opportunities for the Corporation. New York: John Wiley &amp; Sons.</w:t>
      </w:r>
    </w:p>
    <w:p w:rsidR="00B81D0A" w:rsidRDefault="003406EC" w:rsidP="003D6DDA">
      <w:pPr>
        <w:spacing w:after="0" w:line="240" w:lineRule="auto"/>
        <w:ind w:firstLine="720"/>
        <w:jc w:val="both"/>
        <w:rPr>
          <w:rFonts w:ascii="Times New Roman" w:hAnsi="Times New Roman" w:cs="Times New Roman"/>
          <w:sz w:val="24"/>
          <w:szCs w:val="24"/>
        </w:rPr>
      </w:pPr>
      <w:r w:rsidRPr="003406EC">
        <w:rPr>
          <w:rFonts w:ascii="Times New Roman" w:hAnsi="Times New Roman" w:cs="Times New Roman"/>
          <w:sz w:val="24"/>
          <w:szCs w:val="24"/>
        </w:rPr>
        <w:t xml:space="preserve">Rita M. Rodriguez. (1980). Corporate Exchange Risk Management: Theme and Aberrations. </w:t>
      </w:r>
      <w:proofErr w:type="gramStart"/>
      <w:r w:rsidRPr="003406EC">
        <w:rPr>
          <w:rFonts w:ascii="Times New Roman" w:hAnsi="Times New Roman" w:cs="Times New Roman"/>
          <w:sz w:val="24"/>
          <w:szCs w:val="24"/>
        </w:rPr>
        <w:t>The Journal of Finance, VOL. XXXVI, NO.</w:t>
      </w:r>
      <w:proofErr w:type="gramEnd"/>
      <w:r w:rsidRPr="003406EC">
        <w:rPr>
          <w:rFonts w:ascii="Times New Roman" w:hAnsi="Times New Roman" w:cs="Times New Roman"/>
          <w:sz w:val="24"/>
          <w:szCs w:val="24"/>
        </w:rPr>
        <w:t xml:space="preserve"> 2, 427-439</w:t>
      </w:r>
    </w:p>
    <w:p w:rsidR="001B7449" w:rsidRDefault="001B7449" w:rsidP="003D6DDA">
      <w:pPr>
        <w:spacing w:after="0" w:line="240" w:lineRule="auto"/>
        <w:ind w:firstLine="720"/>
        <w:jc w:val="both"/>
        <w:rPr>
          <w:rFonts w:ascii="Times New Roman" w:hAnsi="Times New Roman" w:cs="Times New Roman"/>
          <w:sz w:val="24"/>
          <w:szCs w:val="24"/>
        </w:rPr>
      </w:pPr>
    </w:p>
    <w:p w:rsidR="00721C8B" w:rsidRDefault="00721C8B" w:rsidP="003D6DDA">
      <w:pPr>
        <w:spacing w:after="0" w:line="240" w:lineRule="auto"/>
        <w:ind w:firstLine="720"/>
        <w:jc w:val="both"/>
        <w:rPr>
          <w:rFonts w:ascii="Times New Roman" w:hAnsi="Times New Roman" w:cs="Times New Roman"/>
          <w:sz w:val="24"/>
          <w:szCs w:val="24"/>
        </w:rPr>
      </w:pPr>
    </w:p>
    <w:p w:rsidR="004D4E4C" w:rsidRDefault="004D4E4C" w:rsidP="003D6DDA">
      <w:pPr>
        <w:spacing w:after="0" w:line="240" w:lineRule="auto"/>
        <w:ind w:firstLine="720"/>
        <w:jc w:val="both"/>
        <w:rPr>
          <w:rFonts w:ascii="Times New Roman" w:hAnsi="Times New Roman" w:cs="Times New Roman"/>
          <w:sz w:val="24"/>
          <w:szCs w:val="24"/>
        </w:rPr>
      </w:pPr>
    </w:p>
    <w:p w:rsidR="004D4E4C" w:rsidRDefault="004D4E4C" w:rsidP="003D6DDA">
      <w:pPr>
        <w:spacing w:after="0" w:line="240" w:lineRule="auto"/>
        <w:ind w:firstLine="720"/>
        <w:jc w:val="both"/>
        <w:rPr>
          <w:rFonts w:ascii="Times New Roman" w:hAnsi="Times New Roman" w:cs="Times New Roman"/>
          <w:sz w:val="24"/>
          <w:szCs w:val="24"/>
        </w:rPr>
      </w:pPr>
    </w:p>
    <w:p w:rsidR="004D4E4C" w:rsidRDefault="004D4E4C" w:rsidP="003D6DDA">
      <w:pPr>
        <w:spacing w:after="0" w:line="240" w:lineRule="auto"/>
        <w:ind w:firstLine="720"/>
        <w:jc w:val="both"/>
        <w:rPr>
          <w:rFonts w:ascii="Times New Roman" w:hAnsi="Times New Roman" w:cs="Times New Roman"/>
          <w:sz w:val="24"/>
          <w:szCs w:val="24"/>
        </w:rPr>
      </w:pPr>
    </w:p>
    <w:p w:rsidR="004D4E4C" w:rsidRDefault="004D4E4C" w:rsidP="003D6DDA">
      <w:pPr>
        <w:spacing w:after="0" w:line="240" w:lineRule="auto"/>
        <w:ind w:firstLine="720"/>
        <w:jc w:val="both"/>
        <w:rPr>
          <w:rFonts w:ascii="Times New Roman" w:hAnsi="Times New Roman" w:cs="Times New Roman"/>
          <w:sz w:val="24"/>
          <w:szCs w:val="24"/>
        </w:rPr>
      </w:pPr>
    </w:p>
    <w:p w:rsidR="001B7449" w:rsidRDefault="001B7449" w:rsidP="003D6DDA">
      <w:pPr>
        <w:spacing w:after="0" w:line="240" w:lineRule="auto"/>
        <w:ind w:firstLine="720"/>
        <w:jc w:val="both"/>
        <w:rPr>
          <w:rFonts w:ascii="Times New Roman" w:hAnsi="Times New Roman" w:cs="Times New Roman"/>
          <w:sz w:val="24"/>
          <w:szCs w:val="24"/>
        </w:rPr>
      </w:pPr>
    </w:p>
    <w:p w:rsidR="00B81D0A" w:rsidRPr="003406EC" w:rsidRDefault="00B81D0A" w:rsidP="003D6DDA">
      <w:pPr>
        <w:tabs>
          <w:tab w:val="left" w:pos="810"/>
        </w:tabs>
        <w:spacing w:after="0" w:line="240" w:lineRule="auto"/>
        <w:jc w:val="center"/>
        <w:rPr>
          <w:rFonts w:ascii="Times New Roman" w:hAnsi="Times New Roman" w:cs="Times New Roman"/>
          <w:b/>
          <w:sz w:val="24"/>
          <w:szCs w:val="24"/>
        </w:rPr>
      </w:pPr>
      <w:r w:rsidRPr="003406EC">
        <w:rPr>
          <w:rFonts w:ascii="Times New Roman" w:hAnsi="Times New Roman" w:cs="Times New Roman"/>
          <w:b/>
          <w:sz w:val="24"/>
          <w:szCs w:val="24"/>
        </w:rPr>
        <w:lastRenderedPageBreak/>
        <w:t>Table 1: Descriptive statistics for KOSE and Bursa Malaysia starting from 2001 to 2012</w:t>
      </w:r>
    </w:p>
    <w:tbl>
      <w:tblPr>
        <w:tblW w:w="5000" w:type="pct"/>
        <w:tblLook w:val="04A0" w:firstRow="1" w:lastRow="0" w:firstColumn="1" w:lastColumn="0" w:noHBand="0" w:noVBand="1"/>
      </w:tblPr>
      <w:tblGrid>
        <w:gridCol w:w="1836"/>
        <w:gridCol w:w="1319"/>
        <w:gridCol w:w="1320"/>
        <w:gridCol w:w="1176"/>
        <w:gridCol w:w="1293"/>
        <w:gridCol w:w="1253"/>
        <w:gridCol w:w="1379"/>
      </w:tblGrid>
      <w:tr w:rsidR="00B81D0A" w:rsidRPr="00E67992" w:rsidTr="00B81D0A">
        <w:trPr>
          <w:trHeight w:val="300"/>
        </w:trPr>
        <w:tc>
          <w:tcPr>
            <w:tcW w:w="959" w:type="pct"/>
            <w:tcBorders>
              <w:top w:val="single" w:sz="4" w:space="0" w:color="auto"/>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b/>
                <w:color w:val="000000"/>
                <w:sz w:val="20"/>
                <w:szCs w:val="20"/>
              </w:rPr>
            </w:pPr>
            <w:r w:rsidRPr="00E67992">
              <w:rPr>
                <w:rFonts w:ascii="Times New Roman" w:eastAsia="Times New Roman" w:hAnsi="Times New Roman" w:cs="Times New Roman"/>
                <w:b/>
                <w:color w:val="000000"/>
                <w:sz w:val="20"/>
                <w:szCs w:val="20"/>
              </w:rPr>
              <w:t>KOSE</w:t>
            </w:r>
          </w:p>
        </w:tc>
        <w:tc>
          <w:tcPr>
            <w:tcW w:w="1378" w:type="pct"/>
            <w:gridSpan w:val="2"/>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All</w:t>
            </w:r>
          </w:p>
        </w:tc>
        <w:tc>
          <w:tcPr>
            <w:tcW w:w="1289" w:type="pct"/>
            <w:gridSpan w:val="2"/>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High cash</w:t>
            </w:r>
          </w:p>
        </w:tc>
        <w:tc>
          <w:tcPr>
            <w:tcW w:w="1374" w:type="pct"/>
            <w:gridSpan w:val="2"/>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Low cash</w:t>
            </w:r>
          </w:p>
        </w:tc>
      </w:tr>
      <w:tr w:rsidR="00B81D0A" w:rsidRPr="00E67992" w:rsidTr="00B81D0A">
        <w:trPr>
          <w:trHeight w:val="300"/>
        </w:trPr>
        <w:tc>
          <w:tcPr>
            <w:tcW w:w="959"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Variable</w:t>
            </w:r>
          </w:p>
        </w:tc>
        <w:tc>
          <w:tcPr>
            <w:tcW w:w="689"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Mean</w:t>
            </w:r>
          </w:p>
        </w:tc>
        <w:tc>
          <w:tcPr>
            <w:tcW w:w="689"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Std. dev.</w:t>
            </w:r>
          </w:p>
        </w:tc>
        <w:tc>
          <w:tcPr>
            <w:tcW w:w="614"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Mean</w:t>
            </w:r>
          </w:p>
        </w:tc>
        <w:tc>
          <w:tcPr>
            <w:tcW w:w="675"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Std. dev.</w:t>
            </w:r>
          </w:p>
        </w:tc>
        <w:tc>
          <w:tcPr>
            <w:tcW w:w="654"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Mean</w:t>
            </w:r>
          </w:p>
        </w:tc>
        <w:tc>
          <w:tcPr>
            <w:tcW w:w="720"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Std. dev.</w:t>
            </w:r>
          </w:p>
        </w:tc>
      </w:tr>
      <w:tr w:rsidR="00B81D0A" w:rsidRPr="00E67992" w:rsidTr="00B81D0A">
        <w:trPr>
          <w:trHeight w:val="58"/>
        </w:trPr>
        <w:tc>
          <w:tcPr>
            <w:tcW w:w="95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1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75"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5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7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r>
      <w:tr w:rsidR="00B81D0A" w:rsidRPr="00E67992" w:rsidTr="00B81D0A">
        <w:trPr>
          <w:trHeight w:val="300"/>
        </w:trPr>
        <w:tc>
          <w:tcPr>
            <w:tcW w:w="95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Cash ratio</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0.1232</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0.1124</w:t>
            </w:r>
          </w:p>
        </w:tc>
        <w:tc>
          <w:tcPr>
            <w:tcW w:w="61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0.3293</w:t>
            </w:r>
          </w:p>
        </w:tc>
        <w:tc>
          <w:tcPr>
            <w:tcW w:w="675"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0.1389</w:t>
            </w:r>
          </w:p>
        </w:tc>
        <w:tc>
          <w:tcPr>
            <w:tcW w:w="65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0.1017</w:t>
            </w:r>
          </w:p>
        </w:tc>
        <w:tc>
          <w:tcPr>
            <w:tcW w:w="7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0.0840</w:t>
            </w:r>
          </w:p>
        </w:tc>
      </w:tr>
      <w:tr w:rsidR="00B81D0A" w:rsidRPr="00E67992" w:rsidTr="00B81D0A">
        <w:trPr>
          <w:trHeight w:val="300"/>
        </w:trPr>
        <w:tc>
          <w:tcPr>
            <w:tcW w:w="95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Repayment ability</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9.9415</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34.1960</w:t>
            </w:r>
          </w:p>
        </w:tc>
        <w:tc>
          <w:tcPr>
            <w:tcW w:w="61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32.4102</w:t>
            </w:r>
          </w:p>
        </w:tc>
        <w:tc>
          <w:tcPr>
            <w:tcW w:w="675"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80.1360</w:t>
            </w:r>
          </w:p>
        </w:tc>
        <w:tc>
          <w:tcPr>
            <w:tcW w:w="65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8.2737</w:t>
            </w:r>
          </w:p>
        </w:tc>
        <w:tc>
          <w:tcPr>
            <w:tcW w:w="7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27.2145</w:t>
            </w:r>
          </w:p>
        </w:tc>
      </w:tr>
      <w:tr w:rsidR="00B81D0A" w:rsidRPr="00E67992" w:rsidTr="00B81D0A">
        <w:trPr>
          <w:trHeight w:val="300"/>
        </w:trPr>
        <w:tc>
          <w:tcPr>
            <w:tcW w:w="95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Liquidity factor</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1.7963</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1.6345</w:t>
            </w:r>
          </w:p>
        </w:tc>
        <w:tc>
          <w:tcPr>
            <w:tcW w:w="61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4.1667</w:t>
            </w:r>
          </w:p>
        </w:tc>
        <w:tc>
          <w:tcPr>
            <w:tcW w:w="675"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2.8734</w:t>
            </w:r>
          </w:p>
        </w:tc>
        <w:tc>
          <w:tcPr>
            <w:tcW w:w="65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1.5512</w:t>
            </w:r>
          </w:p>
        </w:tc>
        <w:tc>
          <w:tcPr>
            <w:tcW w:w="7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1.2062</w:t>
            </w:r>
          </w:p>
        </w:tc>
      </w:tr>
      <w:tr w:rsidR="00B81D0A" w:rsidRPr="00E67992" w:rsidTr="00B81D0A">
        <w:trPr>
          <w:trHeight w:val="300"/>
        </w:trPr>
        <w:tc>
          <w:tcPr>
            <w:tcW w:w="95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Solvency factor</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11.9879</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16.4386</w:t>
            </w:r>
          </w:p>
        </w:tc>
        <w:tc>
          <w:tcPr>
            <w:tcW w:w="61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23.9792</w:t>
            </w:r>
          </w:p>
        </w:tc>
        <w:tc>
          <w:tcPr>
            <w:tcW w:w="675"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24.7571</w:t>
            </w:r>
          </w:p>
        </w:tc>
        <w:tc>
          <w:tcPr>
            <w:tcW w:w="65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11.4161</w:t>
            </w:r>
          </w:p>
        </w:tc>
        <w:tc>
          <w:tcPr>
            <w:tcW w:w="7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15.7121</w:t>
            </w:r>
          </w:p>
        </w:tc>
      </w:tr>
      <w:tr w:rsidR="00B81D0A" w:rsidRPr="00E67992" w:rsidTr="00B81D0A">
        <w:trPr>
          <w:trHeight w:val="68"/>
        </w:trPr>
        <w:tc>
          <w:tcPr>
            <w:tcW w:w="95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Currency risk</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0.0278</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0.0136</w:t>
            </w:r>
          </w:p>
        </w:tc>
        <w:tc>
          <w:tcPr>
            <w:tcW w:w="61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75"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5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7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r>
      <w:tr w:rsidR="00B81D0A" w:rsidRPr="00E67992" w:rsidTr="00B81D0A">
        <w:trPr>
          <w:trHeight w:val="300"/>
        </w:trPr>
        <w:tc>
          <w:tcPr>
            <w:tcW w:w="95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Inflation risk</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0.0040</w:t>
            </w:r>
          </w:p>
        </w:tc>
        <w:tc>
          <w:tcPr>
            <w:tcW w:w="68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0.0008</w:t>
            </w:r>
          </w:p>
        </w:tc>
        <w:tc>
          <w:tcPr>
            <w:tcW w:w="61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75"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5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7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r>
      <w:tr w:rsidR="00B81D0A" w:rsidRPr="00E67992" w:rsidTr="00B81D0A">
        <w:trPr>
          <w:trHeight w:val="300"/>
        </w:trPr>
        <w:tc>
          <w:tcPr>
            <w:tcW w:w="959"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689"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689"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614"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675"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654"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720"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r>
    </w:tbl>
    <w:p w:rsidR="00B81D0A" w:rsidRPr="003406EC" w:rsidRDefault="00B81D0A" w:rsidP="003D6DDA">
      <w:pPr>
        <w:tabs>
          <w:tab w:val="left" w:pos="810"/>
        </w:tabs>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1843"/>
        <w:gridCol w:w="1325"/>
        <w:gridCol w:w="1231"/>
        <w:gridCol w:w="1187"/>
        <w:gridCol w:w="1341"/>
        <w:gridCol w:w="1237"/>
        <w:gridCol w:w="1412"/>
      </w:tblGrid>
      <w:tr w:rsidR="00B81D0A" w:rsidRPr="00E67992" w:rsidTr="00B81D0A">
        <w:trPr>
          <w:trHeight w:val="300"/>
        </w:trPr>
        <w:tc>
          <w:tcPr>
            <w:tcW w:w="962" w:type="pct"/>
            <w:tcBorders>
              <w:top w:val="single" w:sz="4" w:space="0" w:color="auto"/>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b/>
                <w:color w:val="000000"/>
                <w:sz w:val="20"/>
                <w:szCs w:val="20"/>
              </w:rPr>
            </w:pPr>
            <w:r w:rsidRPr="00E67992">
              <w:rPr>
                <w:rFonts w:ascii="Times New Roman" w:eastAsia="Times New Roman" w:hAnsi="Times New Roman" w:cs="Times New Roman"/>
                <w:b/>
                <w:color w:val="000000"/>
                <w:sz w:val="20"/>
                <w:szCs w:val="20"/>
              </w:rPr>
              <w:t>Bursa Malaysia</w:t>
            </w:r>
          </w:p>
        </w:tc>
        <w:tc>
          <w:tcPr>
            <w:tcW w:w="1335" w:type="pct"/>
            <w:gridSpan w:val="2"/>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All</w:t>
            </w:r>
          </w:p>
        </w:tc>
        <w:tc>
          <w:tcPr>
            <w:tcW w:w="1320" w:type="pct"/>
            <w:gridSpan w:val="2"/>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High cash</w:t>
            </w:r>
          </w:p>
        </w:tc>
        <w:tc>
          <w:tcPr>
            <w:tcW w:w="1383" w:type="pct"/>
            <w:gridSpan w:val="2"/>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Low cash</w:t>
            </w:r>
          </w:p>
        </w:tc>
      </w:tr>
      <w:tr w:rsidR="00B81D0A" w:rsidRPr="00E67992" w:rsidTr="00B81D0A">
        <w:trPr>
          <w:trHeight w:val="300"/>
        </w:trPr>
        <w:tc>
          <w:tcPr>
            <w:tcW w:w="962"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Variable</w:t>
            </w:r>
          </w:p>
        </w:tc>
        <w:tc>
          <w:tcPr>
            <w:tcW w:w="692"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Mean</w:t>
            </w:r>
          </w:p>
        </w:tc>
        <w:tc>
          <w:tcPr>
            <w:tcW w:w="643"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Std. dev.</w:t>
            </w:r>
          </w:p>
        </w:tc>
        <w:tc>
          <w:tcPr>
            <w:tcW w:w="620"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Mean</w:t>
            </w:r>
          </w:p>
        </w:tc>
        <w:tc>
          <w:tcPr>
            <w:tcW w:w="700"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Std. dev.</w:t>
            </w:r>
          </w:p>
        </w:tc>
        <w:tc>
          <w:tcPr>
            <w:tcW w:w="646"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Mean</w:t>
            </w:r>
          </w:p>
        </w:tc>
        <w:tc>
          <w:tcPr>
            <w:tcW w:w="737"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Std. dev.</w:t>
            </w:r>
          </w:p>
        </w:tc>
      </w:tr>
      <w:tr w:rsidR="00B81D0A" w:rsidRPr="00E67992" w:rsidTr="00B81D0A">
        <w:trPr>
          <w:trHeight w:val="58"/>
        </w:trPr>
        <w:tc>
          <w:tcPr>
            <w:tcW w:w="962"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92"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43"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70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4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737"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r>
      <w:tr w:rsidR="00B81D0A" w:rsidRPr="00E67992" w:rsidTr="00B81D0A">
        <w:trPr>
          <w:trHeight w:val="300"/>
        </w:trPr>
        <w:tc>
          <w:tcPr>
            <w:tcW w:w="962" w:type="pc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Cash ratio</w:t>
            </w:r>
          </w:p>
        </w:tc>
        <w:tc>
          <w:tcPr>
            <w:tcW w:w="692"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0.1273</w:t>
            </w:r>
          </w:p>
        </w:tc>
        <w:tc>
          <w:tcPr>
            <w:tcW w:w="643"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0.1313</w:t>
            </w:r>
          </w:p>
        </w:tc>
        <w:tc>
          <w:tcPr>
            <w:tcW w:w="6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0.3470</w:t>
            </w:r>
          </w:p>
        </w:tc>
        <w:tc>
          <w:tcPr>
            <w:tcW w:w="70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0.1728</w:t>
            </w:r>
          </w:p>
        </w:tc>
        <w:tc>
          <w:tcPr>
            <w:tcW w:w="64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0.1015</w:t>
            </w:r>
          </w:p>
        </w:tc>
        <w:tc>
          <w:tcPr>
            <w:tcW w:w="737"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0.0971</w:t>
            </w:r>
          </w:p>
        </w:tc>
      </w:tr>
      <w:tr w:rsidR="00B81D0A" w:rsidRPr="00E67992" w:rsidTr="00B81D0A">
        <w:trPr>
          <w:trHeight w:val="300"/>
        </w:trPr>
        <w:tc>
          <w:tcPr>
            <w:tcW w:w="962" w:type="pc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Repayment ability</w:t>
            </w:r>
          </w:p>
        </w:tc>
        <w:tc>
          <w:tcPr>
            <w:tcW w:w="692"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8.2508</w:t>
            </w:r>
          </w:p>
        </w:tc>
        <w:tc>
          <w:tcPr>
            <w:tcW w:w="643"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19.8297</w:t>
            </w:r>
          </w:p>
        </w:tc>
        <w:tc>
          <w:tcPr>
            <w:tcW w:w="6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14.8846</w:t>
            </w:r>
          </w:p>
        </w:tc>
        <w:tc>
          <w:tcPr>
            <w:tcW w:w="70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28.2104</w:t>
            </w:r>
          </w:p>
        </w:tc>
        <w:tc>
          <w:tcPr>
            <w:tcW w:w="64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7.8121</w:t>
            </w:r>
          </w:p>
        </w:tc>
        <w:tc>
          <w:tcPr>
            <w:tcW w:w="737"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19.0697</w:t>
            </w:r>
          </w:p>
        </w:tc>
      </w:tr>
      <w:tr w:rsidR="00B81D0A" w:rsidRPr="00E67992" w:rsidTr="00B81D0A">
        <w:trPr>
          <w:trHeight w:val="300"/>
        </w:trPr>
        <w:tc>
          <w:tcPr>
            <w:tcW w:w="962" w:type="pc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Liquidity factor</w:t>
            </w:r>
          </w:p>
        </w:tc>
        <w:tc>
          <w:tcPr>
            <w:tcW w:w="692"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2.2798</w:t>
            </w:r>
          </w:p>
        </w:tc>
        <w:tc>
          <w:tcPr>
            <w:tcW w:w="643"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1.8595</w:t>
            </w:r>
          </w:p>
        </w:tc>
        <w:tc>
          <w:tcPr>
            <w:tcW w:w="6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3.8944</w:t>
            </w:r>
          </w:p>
        </w:tc>
        <w:tc>
          <w:tcPr>
            <w:tcW w:w="70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2.3490</w:t>
            </w:r>
          </w:p>
        </w:tc>
        <w:tc>
          <w:tcPr>
            <w:tcW w:w="64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2.1165</w:t>
            </w:r>
          </w:p>
        </w:tc>
        <w:tc>
          <w:tcPr>
            <w:tcW w:w="737"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1.7205</w:t>
            </w:r>
          </w:p>
        </w:tc>
      </w:tr>
      <w:tr w:rsidR="00B81D0A" w:rsidRPr="00E67992" w:rsidTr="00B81D0A">
        <w:trPr>
          <w:trHeight w:val="300"/>
        </w:trPr>
        <w:tc>
          <w:tcPr>
            <w:tcW w:w="962" w:type="pc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Solvency factor</w:t>
            </w:r>
          </w:p>
        </w:tc>
        <w:tc>
          <w:tcPr>
            <w:tcW w:w="692"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13.6371</w:t>
            </w:r>
          </w:p>
        </w:tc>
        <w:tc>
          <w:tcPr>
            <w:tcW w:w="643"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17.8790</w:t>
            </w:r>
          </w:p>
        </w:tc>
        <w:tc>
          <w:tcPr>
            <w:tcW w:w="6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16.6535</w:t>
            </w:r>
          </w:p>
        </w:tc>
        <w:tc>
          <w:tcPr>
            <w:tcW w:w="70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21.2195</w:t>
            </w:r>
          </w:p>
        </w:tc>
        <w:tc>
          <w:tcPr>
            <w:tcW w:w="64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13.4472</w:t>
            </w:r>
          </w:p>
        </w:tc>
        <w:tc>
          <w:tcPr>
            <w:tcW w:w="737"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17.6335</w:t>
            </w:r>
          </w:p>
        </w:tc>
      </w:tr>
      <w:tr w:rsidR="00B81D0A" w:rsidRPr="00E67992" w:rsidTr="00B81D0A">
        <w:trPr>
          <w:trHeight w:val="300"/>
        </w:trPr>
        <w:tc>
          <w:tcPr>
            <w:tcW w:w="962" w:type="pc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Currency risk</w:t>
            </w:r>
          </w:p>
        </w:tc>
        <w:tc>
          <w:tcPr>
            <w:tcW w:w="692"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0.0116</w:t>
            </w:r>
          </w:p>
        </w:tc>
        <w:tc>
          <w:tcPr>
            <w:tcW w:w="643"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0.0102</w:t>
            </w:r>
          </w:p>
        </w:tc>
        <w:tc>
          <w:tcPr>
            <w:tcW w:w="6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70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4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737"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r>
      <w:tr w:rsidR="00B81D0A" w:rsidRPr="00E67992" w:rsidTr="00B81D0A">
        <w:trPr>
          <w:trHeight w:val="300"/>
        </w:trPr>
        <w:tc>
          <w:tcPr>
            <w:tcW w:w="962" w:type="pc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Inflation risk</w:t>
            </w:r>
          </w:p>
        </w:tc>
        <w:tc>
          <w:tcPr>
            <w:tcW w:w="692"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0.0030</w:t>
            </w:r>
          </w:p>
        </w:tc>
        <w:tc>
          <w:tcPr>
            <w:tcW w:w="643"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0.0031</w:t>
            </w:r>
          </w:p>
        </w:tc>
        <w:tc>
          <w:tcPr>
            <w:tcW w:w="62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700"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64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737"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
        </w:tc>
      </w:tr>
      <w:tr w:rsidR="00B81D0A" w:rsidRPr="00E67992" w:rsidTr="00B81D0A">
        <w:trPr>
          <w:trHeight w:val="300"/>
        </w:trPr>
        <w:tc>
          <w:tcPr>
            <w:tcW w:w="962"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692"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643"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620"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700"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737"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r>
    </w:tbl>
    <w:p w:rsidR="00B81D0A" w:rsidRDefault="00B81D0A"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 xml:space="preserve">Source: </w:t>
      </w:r>
      <w:proofErr w:type="spellStart"/>
      <w:r w:rsidRPr="003406EC">
        <w:rPr>
          <w:rFonts w:ascii="Times New Roman" w:hAnsi="Times New Roman" w:cs="Times New Roman"/>
          <w:sz w:val="24"/>
          <w:szCs w:val="24"/>
        </w:rPr>
        <w:t>Datastream</w:t>
      </w:r>
      <w:proofErr w:type="spellEnd"/>
    </w:p>
    <w:p w:rsidR="00B81D0A" w:rsidRDefault="00B81D0A" w:rsidP="003D6DDA">
      <w:pPr>
        <w:tabs>
          <w:tab w:val="left" w:pos="810"/>
        </w:tabs>
        <w:spacing w:after="0" w:line="240" w:lineRule="auto"/>
        <w:jc w:val="both"/>
        <w:rPr>
          <w:rFonts w:ascii="Times New Roman" w:hAnsi="Times New Roman" w:cs="Times New Roman"/>
          <w:sz w:val="24"/>
          <w:szCs w:val="24"/>
        </w:rPr>
      </w:pPr>
    </w:p>
    <w:p w:rsidR="001B7449" w:rsidRDefault="001B7449" w:rsidP="003D6DDA">
      <w:pPr>
        <w:tabs>
          <w:tab w:val="left" w:pos="810"/>
        </w:tabs>
        <w:spacing w:after="0" w:line="240" w:lineRule="auto"/>
        <w:jc w:val="both"/>
        <w:rPr>
          <w:rFonts w:ascii="Times New Roman" w:hAnsi="Times New Roman" w:cs="Times New Roman"/>
          <w:sz w:val="24"/>
          <w:szCs w:val="24"/>
        </w:rPr>
      </w:pPr>
    </w:p>
    <w:p w:rsidR="001B7449" w:rsidRDefault="001B7449" w:rsidP="003D6DDA">
      <w:pPr>
        <w:tabs>
          <w:tab w:val="left" w:pos="810"/>
        </w:tabs>
        <w:spacing w:after="0" w:line="240" w:lineRule="auto"/>
        <w:jc w:val="both"/>
        <w:rPr>
          <w:rFonts w:ascii="Times New Roman" w:hAnsi="Times New Roman" w:cs="Times New Roman"/>
          <w:sz w:val="24"/>
          <w:szCs w:val="24"/>
        </w:rPr>
      </w:pPr>
    </w:p>
    <w:p w:rsidR="001B7449" w:rsidRDefault="001B7449" w:rsidP="003D6DDA">
      <w:pPr>
        <w:tabs>
          <w:tab w:val="left" w:pos="810"/>
        </w:tabs>
        <w:spacing w:after="0" w:line="240" w:lineRule="auto"/>
        <w:jc w:val="both"/>
        <w:rPr>
          <w:rFonts w:ascii="Times New Roman" w:hAnsi="Times New Roman" w:cs="Times New Roman"/>
          <w:sz w:val="24"/>
          <w:szCs w:val="24"/>
        </w:rPr>
      </w:pPr>
    </w:p>
    <w:p w:rsidR="001B7449" w:rsidRDefault="001B7449" w:rsidP="003D6DDA">
      <w:pPr>
        <w:tabs>
          <w:tab w:val="left" w:pos="810"/>
        </w:tabs>
        <w:spacing w:after="0" w:line="240" w:lineRule="auto"/>
        <w:jc w:val="both"/>
        <w:rPr>
          <w:rFonts w:ascii="Times New Roman" w:hAnsi="Times New Roman" w:cs="Times New Roman"/>
          <w:sz w:val="24"/>
          <w:szCs w:val="24"/>
        </w:rPr>
      </w:pPr>
    </w:p>
    <w:p w:rsidR="001B7449" w:rsidRDefault="001B7449"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4D4E4C" w:rsidRDefault="004D4E4C" w:rsidP="003D6DDA">
      <w:pPr>
        <w:tabs>
          <w:tab w:val="left" w:pos="810"/>
        </w:tabs>
        <w:spacing w:after="0" w:line="240" w:lineRule="auto"/>
        <w:jc w:val="both"/>
        <w:rPr>
          <w:rFonts w:ascii="Times New Roman" w:hAnsi="Times New Roman" w:cs="Times New Roman"/>
          <w:sz w:val="24"/>
          <w:szCs w:val="24"/>
        </w:rPr>
      </w:pPr>
    </w:p>
    <w:p w:rsidR="001B7449" w:rsidRDefault="001B7449" w:rsidP="003D6DDA">
      <w:pPr>
        <w:tabs>
          <w:tab w:val="left" w:pos="810"/>
        </w:tabs>
        <w:spacing w:after="0" w:line="240" w:lineRule="auto"/>
        <w:jc w:val="both"/>
        <w:rPr>
          <w:rFonts w:ascii="Times New Roman" w:hAnsi="Times New Roman" w:cs="Times New Roman"/>
          <w:sz w:val="24"/>
          <w:szCs w:val="24"/>
        </w:rPr>
      </w:pPr>
    </w:p>
    <w:p w:rsidR="001B7449" w:rsidRDefault="001B7449" w:rsidP="003D6DDA">
      <w:pPr>
        <w:tabs>
          <w:tab w:val="left" w:pos="810"/>
        </w:tabs>
        <w:spacing w:after="0" w:line="240" w:lineRule="auto"/>
        <w:jc w:val="both"/>
        <w:rPr>
          <w:rFonts w:ascii="Times New Roman" w:hAnsi="Times New Roman" w:cs="Times New Roman"/>
          <w:sz w:val="24"/>
          <w:szCs w:val="24"/>
        </w:rPr>
      </w:pPr>
    </w:p>
    <w:p w:rsidR="001B7449" w:rsidRDefault="001B7449" w:rsidP="003D6DDA">
      <w:pPr>
        <w:tabs>
          <w:tab w:val="left" w:pos="810"/>
        </w:tabs>
        <w:spacing w:after="0" w:line="240" w:lineRule="auto"/>
        <w:jc w:val="both"/>
        <w:rPr>
          <w:rFonts w:ascii="Times New Roman" w:hAnsi="Times New Roman" w:cs="Times New Roman"/>
          <w:sz w:val="24"/>
          <w:szCs w:val="24"/>
        </w:rPr>
      </w:pPr>
    </w:p>
    <w:p w:rsidR="001B7449" w:rsidRPr="003406EC" w:rsidRDefault="001B7449" w:rsidP="003D6DDA">
      <w:pPr>
        <w:tabs>
          <w:tab w:val="left" w:pos="810"/>
        </w:tabs>
        <w:spacing w:after="0" w:line="240" w:lineRule="auto"/>
        <w:jc w:val="both"/>
        <w:rPr>
          <w:rFonts w:ascii="Times New Roman" w:hAnsi="Times New Roman" w:cs="Times New Roman"/>
          <w:sz w:val="24"/>
          <w:szCs w:val="24"/>
        </w:rPr>
      </w:pPr>
    </w:p>
    <w:p w:rsidR="00B81D0A" w:rsidRPr="003406EC" w:rsidRDefault="00B81D0A" w:rsidP="003D6DDA">
      <w:pPr>
        <w:tabs>
          <w:tab w:val="left" w:pos="810"/>
        </w:tabs>
        <w:spacing w:after="0" w:line="240" w:lineRule="auto"/>
        <w:jc w:val="center"/>
        <w:rPr>
          <w:rFonts w:ascii="Times New Roman" w:hAnsi="Times New Roman" w:cs="Times New Roman"/>
          <w:b/>
          <w:sz w:val="24"/>
          <w:szCs w:val="24"/>
        </w:rPr>
      </w:pPr>
      <w:r w:rsidRPr="003406EC">
        <w:rPr>
          <w:rFonts w:ascii="Times New Roman" w:hAnsi="Times New Roman" w:cs="Times New Roman"/>
          <w:b/>
          <w:sz w:val="24"/>
          <w:szCs w:val="24"/>
        </w:rPr>
        <w:lastRenderedPageBreak/>
        <w:t>Table 2: GMM post-estimation diagnostic checking for KOSE and Bursa Malaysia</w:t>
      </w:r>
    </w:p>
    <w:tbl>
      <w:tblPr>
        <w:tblW w:w="5000" w:type="pct"/>
        <w:tblLook w:val="04A0" w:firstRow="1" w:lastRow="0" w:firstColumn="1" w:lastColumn="0" w:noHBand="0" w:noVBand="1"/>
      </w:tblPr>
      <w:tblGrid>
        <w:gridCol w:w="2085"/>
        <w:gridCol w:w="1662"/>
        <w:gridCol w:w="1971"/>
        <w:gridCol w:w="1927"/>
        <w:gridCol w:w="1931"/>
      </w:tblGrid>
      <w:tr w:rsidR="00B81D0A" w:rsidRPr="00E67992" w:rsidTr="00B81D0A">
        <w:trPr>
          <w:trHeight w:val="71"/>
        </w:trPr>
        <w:tc>
          <w:tcPr>
            <w:tcW w:w="1956" w:type="pct"/>
            <w:gridSpan w:val="2"/>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Variable/ model</w:t>
            </w:r>
          </w:p>
        </w:tc>
        <w:tc>
          <w:tcPr>
            <w:tcW w:w="1029" w:type="pct"/>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proofErr w:type="spellStart"/>
            <w:r w:rsidRPr="00E67992">
              <w:rPr>
                <w:rFonts w:ascii="Times New Roman" w:eastAsia="Times New Roman" w:hAnsi="Times New Roman" w:cs="Times New Roman"/>
                <w:color w:val="000000"/>
                <w:sz w:val="20"/>
                <w:szCs w:val="20"/>
              </w:rPr>
              <w:t>Sargan</w:t>
            </w:r>
            <w:proofErr w:type="spellEnd"/>
            <w:r w:rsidRPr="00E67992">
              <w:rPr>
                <w:rFonts w:ascii="Times New Roman" w:eastAsia="Times New Roman" w:hAnsi="Times New Roman" w:cs="Times New Roman"/>
                <w:color w:val="000000"/>
                <w:sz w:val="20"/>
                <w:szCs w:val="20"/>
              </w:rPr>
              <w:t xml:space="preserve"> test</w:t>
            </w:r>
          </w:p>
        </w:tc>
        <w:tc>
          <w:tcPr>
            <w:tcW w:w="1006" w:type="pct"/>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AR 1</w:t>
            </w:r>
          </w:p>
        </w:tc>
        <w:tc>
          <w:tcPr>
            <w:tcW w:w="1008" w:type="pct"/>
            <w:tcBorders>
              <w:top w:val="single" w:sz="4" w:space="0" w:color="auto"/>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AR 2</w:t>
            </w:r>
          </w:p>
        </w:tc>
      </w:tr>
      <w:tr w:rsidR="00B81D0A" w:rsidRPr="00E67992" w:rsidTr="00B81D0A">
        <w:trPr>
          <w:trHeight w:val="52"/>
        </w:trPr>
        <w:tc>
          <w:tcPr>
            <w:tcW w:w="1089"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b/>
                <w:color w:val="000000"/>
                <w:sz w:val="20"/>
                <w:szCs w:val="20"/>
              </w:rPr>
            </w:pPr>
            <w:r w:rsidRPr="00E67992">
              <w:rPr>
                <w:rFonts w:ascii="Times New Roman" w:eastAsia="Times New Roman" w:hAnsi="Times New Roman" w:cs="Times New Roman"/>
                <w:b/>
                <w:color w:val="000000"/>
                <w:sz w:val="20"/>
                <w:szCs w:val="20"/>
              </w:rPr>
              <w:t>KOSE</w:t>
            </w:r>
          </w:p>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p>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All</w:t>
            </w:r>
          </w:p>
        </w:tc>
        <w:tc>
          <w:tcPr>
            <w:tcW w:w="868" w:type="pct"/>
            <w:vMerge w:val="restar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1</w:t>
            </w:r>
          </w:p>
        </w:tc>
        <w:tc>
          <w:tcPr>
            <w:tcW w:w="102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65.0768</w:t>
            </w:r>
          </w:p>
        </w:tc>
        <w:tc>
          <w:tcPr>
            <w:tcW w:w="100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-5.3324</w:t>
            </w:r>
          </w:p>
        </w:tc>
        <w:tc>
          <w:tcPr>
            <w:tcW w:w="1008"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0.9870</w:t>
            </w:r>
          </w:p>
        </w:tc>
      </w:tr>
      <w:tr w:rsidR="00B81D0A" w:rsidRPr="00E67992" w:rsidTr="00B81D0A">
        <w:trPr>
          <w:trHeight w:val="52"/>
        </w:trPr>
        <w:tc>
          <w:tcPr>
            <w:tcW w:w="1089"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868" w:type="pct"/>
            <w:vMerge/>
            <w:tcBorders>
              <w:top w:val="nil"/>
              <w:left w:val="nil"/>
              <w:bottom w:val="nil"/>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02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(0.1235)</w:t>
            </w:r>
          </w:p>
        </w:tc>
        <w:tc>
          <w:tcPr>
            <w:tcW w:w="100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008"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(0.3237)</w:t>
            </w:r>
          </w:p>
        </w:tc>
      </w:tr>
      <w:tr w:rsidR="00B81D0A" w:rsidRPr="00E67992" w:rsidTr="00B81D0A">
        <w:trPr>
          <w:trHeight w:val="52"/>
        </w:trPr>
        <w:tc>
          <w:tcPr>
            <w:tcW w:w="1089"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868"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2</w:t>
            </w:r>
          </w:p>
        </w:tc>
        <w:tc>
          <w:tcPr>
            <w:tcW w:w="102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63.5036</w:t>
            </w:r>
          </w:p>
        </w:tc>
        <w:tc>
          <w:tcPr>
            <w:tcW w:w="100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-5.3067</w:t>
            </w:r>
          </w:p>
        </w:tc>
        <w:tc>
          <w:tcPr>
            <w:tcW w:w="1008"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1.0369</w:t>
            </w:r>
          </w:p>
        </w:tc>
      </w:tr>
      <w:tr w:rsidR="00B81D0A" w:rsidRPr="00E67992" w:rsidTr="00B81D0A">
        <w:trPr>
          <w:trHeight w:val="52"/>
        </w:trPr>
        <w:tc>
          <w:tcPr>
            <w:tcW w:w="1089"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868"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029"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(0.2887)</w:t>
            </w:r>
          </w:p>
        </w:tc>
        <w:tc>
          <w:tcPr>
            <w:tcW w:w="1006"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008"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(0.2998)</w:t>
            </w:r>
          </w:p>
        </w:tc>
      </w:tr>
      <w:tr w:rsidR="00B81D0A" w:rsidRPr="00E67992" w:rsidTr="00B81D0A">
        <w:trPr>
          <w:trHeight w:val="52"/>
        </w:trPr>
        <w:tc>
          <w:tcPr>
            <w:tcW w:w="1089"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xml:space="preserve">High cash </w:t>
            </w:r>
          </w:p>
        </w:tc>
        <w:tc>
          <w:tcPr>
            <w:tcW w:w="868" w:type="pct"/>
            <w:vMerge w:val="restar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1</w:t>
            </w:r>
          </w:p>
        </w:tc>
        <w:tc>
          <w:tcPr>
            <w:tcW w:w="102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23.6004</w:t>
            </w:r>
          </w:p>
        </w:tc>
        <w:tc>
          <w:tcPr>
            <w:tcW w:w="100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-2.5851</w:t>
            </w:r>
          </w:p>
        </w:tc>
        <w:tc>
          <w:tcPr>
            <w:tcW w:w="1008" w:type="pct"/>
            <w:tcBorders>
              <w:top w:val="single" w:sz="4" w:space="0" w:color="auto"/>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0.7974</w:t>
            </w:r>
          </w:p>
        </w:tc>
      </w:tr>
      <w:tr w:rsidR="00B81D0A" w:rsidRPr="00E67992" w:rsidTr="00B81D0A">
        <w:trPr>
          <w:trHeight w:val="52"/>
        </w:trPr>
        <w:tc>
          <w:tcPr>
            <w:tcW w:w="1089"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868" w:type="pct"/>
            <w:vMerge/>
            <w:tcBorders>
              <w:top w:val="nil"/>
              <w:left w:val="nil"/>
              <w:bottom w:val="nil"/>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02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(0.8860)</w:t>
            </w:r>
          </w:p>
        </w:tc>
        <w:tc>
          <w:tcPr>
            <w:tcW w:w="100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(0.0097)***</w:t>
            </w:r>
          </w:p>
        </w:tc>
        <w:tc>
          <w:tcPr>
            <w:tcW w:w="1008"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(0.4252)</w:t>
            </w:r>
          </w:p>
        </w:tc>
      </w:tr>
      <w:tr w:rsidR="00B81D0A" w:rsidRPr="00E67992" w:rsidTr="00B81D0A">
        <w:trPr>
          <w:trHeight w:val="52"/>
        </w:trPr>
        <w:tc>
          <w:tcPr>
            <w:tcW w:w="1089"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868"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2</w:t>
            </w:r>
          </w:p>
        </w:tc>
        <w:tc>
          <w:tcPr>
            <w:tcW w:w="102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30.8503</w:t>
            </w:r>
          </w:p>
        </w:tc>
        <w:tc>
          <w:tcPr>
            <w:tcW w:w="100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-2.5316</w:t>
            </w:r>
          </w:p>
        </w:tc>
        <w:tc>
          <w:tcPr>
            <w:tcW w:w="1008"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0.8390</w:t>
            </w:r>
          </w:p>
        </w:tc>
      </w:tr>
      <w:tr w:rsidR="00B81D0A" w:rsidRPr="00E67992" w:rsidTr="00B81D0A">
        <w:trPr>
          <w:trHeight w:val="52"/>
        </w:trPr>
        <w:tc>
          <w:tcPr>
            <w:tcW w:w="1089"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868"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02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(0.9742)</w:t>
            </w:r>
          </w:p>
        </w:tc>
        <w:tc>
          <w:tcPr>
            <w:tcW w:w="100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(0.0114)***</w:t>
            </w:r>
          </w:p>
        </w:tc>
        <w:tc>
          <w:tcPr>
            <w:tcW w:w="1008"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(0.4015)</w:t>
            </w:r>
          </w:p>
        </w:tc>
      </w:tr>
      <w:tr w:rsidR="00B81D0A" w:rsidRPr="00E67992" w:rsidTr="00B81D0A">
        <w:trPr>
          <w:trHeight w:val="52"/>
        </w:trPr>
        <w:tc>
          <w:tcPr>
            <w:tcW w:w="1089"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Low cash</w:t>
            </w:r>
          </w:p>
        </w:tc>
        <w:tc>
          <w:tcPr>
            <w:tcW w:w="868" w:type="pct"/>
            <w:vMerge w:val="restar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1</w:t>
            </w:r>
          </w:p>
        </w:tc>
        <w:tc>
          <w:tcPr>
            <w:tcW w:w="1029" w:type="pct"/>
            <w:tcBorders>
              <w:top w:val="single" w:sz="4" w:space="0" w:color="auto"/>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63.3947</w:t>
            </w:r>
          </w:p>
        </w:tc>
        <w:tc>
          <w:tcPr>
            <w:tcW w:w="1006" w:type="pct"/>
            <w:tcBorders>
              <w:top w:val="single" w:sz="4" w:space="0" w:color="auto"/>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-6.5809</w:t>
            </w:r>
          </w:p>
        </w:tc>
        <w:tc>
          <w:tcPr>
            <w:tcW w:w="1008"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0.3507</w:t>
            </w:r>
          </w:p>
        </w:tc>
      </w:tr>
      <w:tr w:rsidR="00B81D0A" w:rsidRPr="00E67992" w:rsidTr="00B81D0A">
        <w:trPr>
          <w:trHeight w:val="52"/>
        </w:trPr>
        <w:tc>
          <w:tcPr>
            <w:tcW w:w="1089"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868" w:type="pct"/>
            <w:vMerge/>
            <w:tcBorders>
              <w:top w:val="nil"/>
              <w:left w:val="nil"/>
              <w:bottom w:val="nil"/>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02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(0.1553)</w:t>
            </w:r>
          </w:p>
        </w:tc>
        <w:tc>
          <w:tcPr>
            <w:tcW w:w="100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008"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(0.7259)</w:t>
            </w:r>
          </w:p>
        </w:tc>
      </w:tr>
      <w:tr w:rsidR="00B81D0A" w:rsidRPr="00E67992" w:rsidTr="00B81D0A">
        <w:trPr>
          <w:trHeight w:val="52"/>
        </w:trPr>
        <w:tc>
          <w:tcPr>
            <w:tcW w:w="1089"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868"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2</w:t>
            </w:r>
          </w:p>
        </w:tc>
        <w:tc>
          <w:tcPr>
            <w:tcW w:w="1029"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63.8806</w:t>
            </w:r>
          </w:p>
        </w:tc>
        <w:tc>
          <w:tcPr>
            <w:tcW w:w="100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-6.5234</w:t>
            </w:r>
          </w:p>
        </w:tc>
        <w:tc>
          <w:tcPr>
            <w:tcW w:w="1008"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0.4049</w:t>
            </w:r>
          </w:p>
        </w:tc>
      </w:tr>
      <w:tr w:rsidR="00B81D0A" w:rsidRPr="00E67992" w:rsidTr="00B81D0A">
        <w:trPr>
          <w:trHeight w:val="52"/>
        </w:trPr>
        <w:tc>
          <w:tcPr>
            <w:tcW w:w="1089"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868"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029"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(0.2776)</w:t>
            </w:r>
          </w:p>
        </w:tc>
        <w:tc>
          <w:tcPr>
            <w:tcW w:w="1006"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008"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(0.6856)</w:t>
            </w:r>
          </w:p>
        </w:tc>
      </w:tr>
    </w:tbl>
    <w:tbl>
      <w:tblPr>
        <w:tblpPr w:leftFromText="180" w:rightFromText="180" w:vertAnchor="text" w:horzAnchor="margin" w:tblpY="73"/>
        <w:tblW w:w="5000" w:type="pct"/>
        <w:tblLook w:val="04A0" w:firstRow="1" w:lastRow="0" w:firstColumn="1" w:lastColumn="0" w:noHBand="0" w:noVBand="1"/>
      </w:tblPr>
      <w:tblGrid>
        <w:gridCol w:w="2034"/>
        <w:gridCol w:w="1766"/>
        <w:gridCol w:w="1888"/>
        <w:gridCol w:w="1980"/>
        <w:gridCol w:w="1908"/>
      </w:tblGrid>
      <w:tr w:rsidR="00B81D0A" w:rsidRPr="00E67992" w:rsidTr="00B81D0A">
        <w:trPr>
          <w:trHeight w:val="62"/>
        </w:trPr>
        <w:tc>
          <w:tcPr>
            <w:tcW w:w="1062"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b/>
                <w:color w:val="000000"/>
                <w:sz w:val="20"/>
                <w:szCs w:val="20"/>
              </w:rPr>
            </w:pPr>
            <w:r w:rsidRPr="00E67992">
              <w:rPr>
                <w:rFonts w:ascii="Times New Roman" w:eastAsia="Times New Roman" w:hAnsi="Times New Roman" w:cs="Times New Roman"/>
                <w:b/>
                <w:color w:val="000000"/>
                <w:sz w:val="20"/>
                <w:szCs w:val="20"/>
              </w:rPr>
              <w:t>Bursa Malaysia</w:t>
            </w:r>
          </w:p>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p>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All</w:t>
            </w:r>
          </w:p>
        </w:tc>
        <w:tc>
          <w:tcPr>
            <w:tcW w:w="922" w:type="pct"/>
            <w:vMerge w:val="restar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1</w:t>
            </w:r>
          </w:p>
        </w:tc>
        <w:tc>
          <w:tcPr>
            <w:tcW w:w="98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69.8309</w:t>
            </w:r>
          </w:p>
        </w:tc>
        <w:tc>
          <w:tcPr>
            <w:tcW w:w="103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-6.4058</w:t>
            </w:r>
          </w:p>
        </w:tc>
        <w:tc>
          <w:tcPr>
            <w:tcW w:w="99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0.4916</w:t>
            </w:r>
          </w:p>
        </w:tc>
      </w:tr>
      <w:tr w:rsidR="00B81D0A" w:rsidRPr="00E67992" w:rsidTr="00B81D0A">
        <w:trPr>
          <w:trHeight w:val="52"/>
        </w:trPr>
        <w:tc>
          <w:tcPr>
            <w:tcW w:w="106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22" w:type="pct"/>
            <w:vMerge/>
            <w:tcBorders>
              <w:top w:val="nil"/>
              <w:left w:val="nil"/>
              <w:bottom w:val="nil"/>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8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(0.1373)</w:t>
            </w:r>
          </w:p>
        </w:tc>
        <w:tc>
          <w:tcPr>
            <w:tcW w:w="103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99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(0.6230)</w:t>
            </w:r>
          </w:p>
        </w:tc>
      </w:tr>
      <w:tr w:rsidR="00B81D0A" w:rsidRPr="00E67992" w:rsidTr="00B81D0A">
        <w:trPr>
          <w:trHeight w:val="52"/>
        </w:trPr>
        <w:tc>
          <w:tcPr>
            <w:tcW w:w="106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22"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2</w:t>
            </w:r>
          </w:p>
        </w:tc>
        <w:tc>
          <w:tcPr>
            <w:tcW w:w="98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50.9692</w:t>
            </w:r>
          </w:p>
        </w:tc>
        <w:tc>
          <w:tcPr>
            <w:tcW w:w="103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-6.2191</w:t>
            </w:r>
          </w:p>
        </w:tc>
        <w:tc>
          <w:tcPr>
            <w:tcW w:w="99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0.9167</w:t>
            </w:r>
          </w:p>
        </w:tc>
      </w:tr>
      <w:tr w:rsidR="00B81D0A" w:rsidRPr="00E67992" w:rsidTr="00B81D0A">
        <w:trPr>
          <w:trHeight w:val="52"/>
        </w:trPr>
        <w:tc>
          <w:tcPr>
            <w:tcW w:w="106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2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86"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(0.0778)</w:t>
            </w:r>
          </w:p>
        </w:tc>
        <w:tc>
          <w:tcPr>
            <w:tcW w:w="1034"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99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(0.3593)</w:t>
            </w:r>
          </w:p>
        </w:tc>
      </w:tr>
      <w:tr w:rsidR="00B81D0A" w:rsidRPr="00E67992" w:rsidTr="00B81D0A">
        <w:trPr>
          <w:trHeight w:val="52"/>
        </w:trPr>
        <w:tc>
          <w:tcPr>
            <w:tcW w:w="1062"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xml:space="preserve">High cash </w:t>
            </w:r>
          </w:p>
        </w:tc>
        <w:tc>
          <w:tcPr>
            <w:tcW w:w="922" w:type="pct"/>
            <w:vMerge w:val="restar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1</w:t>
            </w:r>
          </w:p>
        </w:tc>
        <w:tc>
          <w:tcPr>
            <w:tcW w:w="98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34.6623</w:t>
            </w:r>
          </w:p>
        </w:tc>
        <w:tc>
          <w:tcPr>
            <w:tcW w:w="103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-2.0164</w:t>
            </w:r>
          </w:p>
        </w:tc>
        <w:tc>
          <w:tcPr>
            <w:tcW w:w="996" w:type="pct"/>
            <w:tcBorders>
              <w:top w:val="single" w:sz="4" w:space="0" w:color="auto"/>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-0.5695</w:t>
            </w:r>
          </w:p>
        </w:tc>
      </w:tr>
      <w:tr w:rsidR="00B81D0A" w:rsidRPr="00E67992" w:rsidTr="00B81D0A">
        <w:trPr>
          <w:trHeight w:val="52"/>
        </w:trPr>
        <w:tc>
          <w:tcPr>
            <w:tcW w:w="106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22" w:type="pct"/>
            <w:vMerge/>
            <w:tcBorders>
              <w:top w:val="nil"/>
              <w:left w:val="nil"/>
              <w:bottom w:val="nil"/>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8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(0.3885)</w:t>
            </w:r>
          </w:p>
        </w:tc>
        <w:tc>
          <w:tcPr>
            <w:tcW w:w="103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(0.0438)**</w:t>
            </w:r>
          </w:p>
        </w:tc>
        <w:tc>
          <w:tcPr>
            <w:tcW w:w="99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(0.5690)</w:t>
            </w:r>
          </w:p>
        </w:tc>
      </w:tr>
      <w:tr w:rsidR="00B81D0A" w:rsidRPr="00E67992" w:rsidTr="00B81D0A">
        <w:trPr>
          <w:trHeight w:val="52"/>
        </w:trPr>
        <w:tc>
          <w:tcPr>
            <w:tcW w:w="106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22"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2</w:t>
            </w:r>
          </w:p>
        </w:tc>
        <w:tc>
          <w:tcPr>
            <w:tcW w:w="98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37.9771</w:t>
            </w:r>
          </w:p>
        </w:tc>
        <w:tc>
          <w:tcPr>
            <w:tcW w:w="103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-1.9844</w:t>
            </w:r>
          </w:p>
        </w:tc>
        <w:tc>
          <w:tcPr>
            <w:tcW w:w="99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-0.6060</w:t>
            </w:r>
          </w:p>
        </w:tc>
      </w:tr>
      <w:tr w:rsidR="00B81D0A" w:rsidRPr="00E67992" w:rsidTr="00B81D0A">
        <w:trPr>
          <w:trHeight w:val="52"/>
        </w:trPr>
        <w:tc>
          <w:tcPr>
            <w:tcW w:w="106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2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8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(0.4705)</w:t>
            </w:r>
          </w:p>
        </w:tc>
        <w:tc>
          <w:tcPr>
            <w:tcW w:w="103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(0.0472)**</w:t>
            </w:r>
          </w:p>
        </w:tc>
        <w:tc>
          <w:tcPr>
            <w:tcW w:w="996"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(0.5445)</w:t>
            </w:r>
          </w:p>
        </w:tc>
      </w:tr>
      <w:tr w:rsidR="00B81D0A" w:rsidRPr="00E67992" w:rsidTr="00B81D0A">
        <w:trPr>
          <w:trHeight w:val="52"/>
        </w:trPr>
        <w:tc>
          <w:tcPr>
            <w:tcW w:w="1062"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Low cash</w:t>
            </w:r>
          </w:p>
        </w:tc>
        <w:tc>
          <w:tcPr>
            <w:tcW w:w="922" w:type="pct"/>
            <w:vMerge w:val="restart"/>
            <w:tcBorders>
              <w:top w:val="nil"/>
              <w:left w:val="nil"/>
              <w:bottom w:val="nil"/>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1</w:t>
            </w:r>
          </w:p>
        </w:tc>
        <w:tc>
          <w:tcPr>
            <w:tcW w:w="986" w:type="pct"/>
            <w:tcBorders>
              <w:top w:val="single" w:sz="4" w:space="0" w:color="auto"/>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61.0121</w:t>
            </w:r>
          </w:p>
        </w:tc>
        <w:tc>
          <w:tcPr>
            <w:tcW w:w="1034" w:type="pct"/>
            <w:tcBorders>
              <w:top w:val="single" w:sz="4" w:space="0" w:color="auto"/>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-6.4094</w:t>
            </w:r>
          </w:p>
        </w:tc>
        <w:tc>
          <w:tcPr>
            <w:tcW w:w="99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0.9566</w:t>
            </w:r>
          </w:p>
        </w:tc>
      </w:tr>
      <w:tr w:rsidR="00B81D0A" w:rsidRPr="00E67992" w:rsidTr="00B81D0A">
        <w:trPr>
          <w:trHeight w:val="52"/>
        </w:trPr>
        <w:tc>
          <w:tcPr>
            <w:tcW w:w="106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22" w:type="pct"/>
            <w:vMerge/>
            <w:tcBorders>
              <w:top w:val="nil"/>
              <w:left w:val="nil"/>
              <w:bottom w:val="nil"/>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8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(0.2101)</w:t>
            </w:r>
          </w:p>
        </w:tc>
        <w:tc>
          <w:tcPr>
            <w:tcW w:w="103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99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(0.3388)</w:t>
            </w:r>
          </w:p>
        </w:tc>
      </w:tr>
      <w:tr w:rsidR="00B81D0A" w:rsidRPr="00E67992" w:rsidTr="00B81D0A">
        <w:trPr>
          <w:trHeight w:val="52"/>
        </w:trPr>
        <w:tc>
          <w:tcPr>
            <w:tcW w:w="106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22" w:type="pct"/>
            <w:vMerge w:val="restart"/>
            <w:tcBorders>
              <w:top w:val="nil"/>
              <w:left w:val="nil"/>
              <w:bottom w:val="single" w:sz="4" w:space="0" w:color="000000"/>
              <w:right w:val="nil"/>
            </w:tcBorders>
            <w:shd w:val="clear" w:color="auto" w:fill="auto"/>
            <w:noWrap/>
            <w:vAlign w:val="center"/>
            <w:hideMark/>
          </w:tcPr>
          <w:p w:rsidR="00B81D0A" w:rsidRPr="00E67992"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2</w:t>
            </w:r>
          </w:p>
        </w:tc>
        <w:tc>
          <w:tcPr>
            <w:tcW w:w="98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86.3219</w:t>
            </w:r>
          </w:p>
        </w:tc>
        <w:tc>
          <w:tcPr>
            <w:tcW w:w="1034"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-6.6833</w:t>
            </w:r>
          </w:p>
        </w:tc>
        <w:tc>
          <w:tcPr>
            <w:tcW w:w="996" w:type="pct"/>
            <w:tcBorders>
              <w:top w:val="nil"/>
              <w:left w:val="nil"/>
              <w:bottom w:val="nil"/>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1.1798</w:t>
            </w:r>
          </w:p>
        </w:tc>
      </w:tr>
      <w:tr w:rsidR="00B81D0A" w:rsidRPr="00E67992" w:rsidTr="00B81D0A">
        <w:trPr>
          <w:trHeight w:val="52"/>
        </w:trPr>
        <w:tc>
          <w:tcPr>
            <w:tcW w:w="106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22" w:type="pct"/>
            <w:vMerge/>
            <w:tcBorders>
              <w:top w:val="nil"/>
              <w:left w:val="nil"/>
              <w:bottom w:val="single" w:sz="4" w:space="0" w:color="000000"/>
              <w:right w:val="nil"/>
            </w:tcBorders>
            <w:vAlign w:val="center"/>
            <w:hideMark/>
          </w:tcPr>
          <w:p w:rsidR="00B81D0A" w:rsidRPr="00E67992"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986"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(0.0662)</w:t>
            </w:r>
          </w:p>
        </w:tc>
        <w:tc>
          <w:tcPr>
            <w:tcW w:w="1034"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996" w:type="pct"/>
            <w:tcBorders>
              <w:top w:val="nil"/>
              <w:left w:val="nil"/>
              <w:bottom w:val="single" w:sz="4" w:space="0" w:color="auto"/>
              <w:right w:val="nil"/>
            </w:tcBorders>
            <w:shd w:val="clear" w:color="auto" w:fill="auto"/>
            <w:noWrap/>
            <w:vAlign w:val="bottom"/>
            <w:hideMark/>
          </w:tcPr>
          <w:p w:rsidR="00B81D0A" w:rsidRPr="00E67992"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(0.2381)</w:t>
            </w:r>
          </w:p>
        </w:tc>
      </w:tr>
    </w:tbl>
    <w:p w:rsidR="00B81D0A" w:rsidRPr="003406EC" w:rsidRDefault="00B81D0A" w:rsidP="003D6DDA">
      <w:pPr>
        <w:tabs>
          <w:tab w:val="left" w:pos="810"/>
        </w:tabs>
        <w:spacing w:after="0" w:line="240" w:lineRule="auto"/>
        <w:jc w:val="both"/>
        <w:rPr>
          <w:rFonts w:ascii="Times New Roman" w:eastAsia="Times New Roman" w:hAnsi="Times New Roman" w:cs="Times New Roman"/>
          <w:color w:val="000000"/>
          <w:sz w:val="24"/>
          <w:szCs w:val="24"/>
        </w:rPr>
      </w:pPr>
      <w:r w:rsidRPr="003406EC">
        <w:rPr>
          <w:rFonts w:ascii="Times New Roman" w:hAnsi="Times New Roman" w:cs="Times New Roman"/>
          <w:sz w:val="24"/>
          <w:szCs w:val="24"/>
        </w:rPr>
        <w:t xml:space="preserve">Note: </w:t>
      </w:r>
      <w:proofErr w:type="spellStart"/>
      <w:r w:rsidRPr="003406EC">
        <w:rPr>
          <w:rFonts w:ascii="Times New Roman" w:hAnsi="Times New Roman" w:cs="Times New Roman"/>
          <w:sz w:val="24"/>
          <w:szCs w:val="24"/>
        </w:rPr>
        <w:t>Sargan</w:t>
      </w:r>
      <w:proofErr w:type="spellEnd"/>
      <w:r w:rsidRPr="003406EC">
        <w:rPr>
          <w:rFonts w:ascii="Times New Roman" w:hAnsi="Times New Roman" w:cs="Times New Roman"/>
          <w:sz w:val="24"/>
          <w:szCs w:val="24"/>
        </w:rPr>
        <w:t xml:space="preserve"> test is to test over-identifying restrictions in a statistical mode. </w:t>
      </w:r>
      <w:r w:rsidRPr="003406EC">
        <w:rPr>
          <w:rFonts w:ascii="Times New Roman" w:eastAsia="Times New Roman" w:hAnsi="Times New Roman" w:cs="Times New Roman"/>
          <w:color w:val="000000"/>
          <w:sz w:val="24"/>
          <w:szCs w:val="24"/>
        </w:rPr>
        <w:t>Arellano-bond tests 1 and 2 are used to detect the existence of autocorrelation.</w:t>
      </w:r>
    </w:p>
    <w:p w:rsidR="00B81D0A" w:rsidRPr="003406EC" w:rsidRDefault="00B81D0A"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 Significance at 0.01 confidence level, ** significance at 0.05 confidence level, * significance at 0.1 confidence level, p-values are in parentheses</w:t>
      </w:r>
    </w:p>
    <w:p w:rsidR="00B81D0A" w:rsidRDefault="00B81D0A" w:rsidP="003D6DDA">
      <w:pPr>
        <w:spacing w:after="0" w:line="240" w:lineRule="auto"/>
        <w:jc w:val="both"/>
        <w:rPr>
          <w:rFonts w:ascii="Times New Roman" w:hAnsi="Times New Roman" w:cs="Times New Roman"/>
          <w:sz w:val="24"/>
          <w:szCs w:val="24"/>
        </w:rPr>
      </w:pPr>
    </w:p>
    <w:p w:rsidR="001B7449" w:rsidRDefault="001B7449" w:rsidP="003D6DDA">
      <w:pPr>
        <w:spacing w:after="0" w:line="240" w:lineRule="auto"/>
        <w:jc w:val="both"/>
        <w:rPr>
          <w:rFonts w:ascii="Times New Roman" w:hAnsi="Times New Roman" w:cs="Times New Roman"/>
          <w:sz w:val="24"/>
          <w:szCs w:val="24"/>
        </w:rPr>
      </w:pPr>
    </w:p>
    <w:p w:rsidR="001B7449" w:rsidRDefault="001B7449" w:rsidP="003D6DDA">
      <w:pPr>
        <w:spacing w:after="0" w:line="240" w:lineRule="auto"/>
        <w:jc w:val="both"/>
        <w:rPr>
          <w:rFonts w:ascii="Times New Roman" w:hAnsi="Times New Roman" w:cs="Times New Roman"/>
          <w:sz w:val="24"/>
          <w:szCs w:val="24"/>
        </w:rPr>
      </w:pPr>
    </w:p>
    <w:p w:rsidR="001B7449" w:rsidRDefault="001B7449" w:rsidP="003D6DDA">
      <w:pPr>
        <w:spacing w:after="0" w:line="240" w:lineRule="auto"/>
        <w:jc w:val="both"/>
        <w:rPr>
          <w:rFonts w:ascii="Times New Roman" w:hAnsi="Times New Roman" w:cs="Times New Roman"/>
          <w:sz w:val="24"/>
          <w:szCs w:val="24"/>
        </w:rPr>
      </w:pPr>
    </w:p>
    <w:p w:rsidR="001B7449" w:rsidRDefault="001B7449" w:rsidP="003D6DDA">
      <w:pPr>
        <w:spacing w:after="0" w:line="240" w:lineRule="auto"/>
        <w:jc w:val="both"/>
        <w:rPr>
          <w:rFonts w:ascii="Times New Roman" w:hAnsi="Times New Roman" w:cs="Times New Roman"/>
          <w:sz w:val="24"/>
          <w:szCs w:val="24"/>
        </w:rPr>
      </w:pPr>
    </w:p>
    <w:p w:rsidR="001B7449" w:rsidRDefault="001B7449" w:rsidP="003D6DDA">
      <w:pPr>
        <w:spacing w:after="0" w:line="240" w:lineRule="auto"/>
        <w:jc w:val="both"/>
        <w:rPr>
          <w:rFonts w:ascii="Times New Roman" w:hAnsi="Times New Roman" w:cs="Times New Roman"/>
          <w:sz w:val="24"/>
          <w:szCs w:val="24"/>
        </w:rPr>
      </w:pPr>
    </w:p>
    <w:p w:rsidR="001B7449" w:rsidRDefault="001B7449"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816DCE" w:rsidRPr="003406EC" w:rsidRDefault="00816DCE" w:rsidP="003D6DDA">
      <w:pPr>
        <w:tabs>
          <w:tab w:val="left" w:pos="810"/>
        </w:tabs>
        <w:spacing w:after="0" w:line="240" w:lineRule="auto"/>
        <w:jc w:val="center"/>
        <w:rPr>
          <w:rFonts w:ascii="Times New Roman" w:hAnsi="Times New Roman" w:cs="Times New Roman"/>
          <w:b/>
          <w:sz w:val="24"/>
          <w:szCs w:val="24"/>
        </w:rPr>
      </w:pPr>
      <w:r w:rsidRPr="003406EC">
        <w:rPr>
          <w:rFonts w:ascii="Times New Roman" w:hAnsi="Times New Roman" w:cs="Times New Roman"/>
          <w:b/>
          <w:sz w:val="24"/>
          <w:szCs w:val="24"/>
        </w:rPr>
        <w:lastRenderedPageBreak/>
        <w:t>Table 3: GMM estimation of impact of firm-level and macroeconomic factors on cash holdings ratio for listed firms in KOSE starting from 2001 to 2012 using two-year moving average</w:t>
      </w:r>
    </w:p>
    <w:p w:rsidR="00816DCE" w:rsidRPr="003406EC" w:rsidRDefault="00816DCE" w:rsidP="003D6DDA">
      <w:pPr>
        <w:tabs>
          <w:tab w:val="left" w:pos="810"/>
        </w:tabs>
        <w:spacing w:after="0" w:line="240" w:lineRule="auto"/>
        <w:jc w:val="both"/>
        <w:rPr>
          <w:rFonts w:ascii="Times New Roman" w:hAnsi="Times New Roman" w:cs="Times New Roman"/>
          <w:b/>
          <w:sz w:val="24"/>
          <w:szCs w:val="24"/>
        </w:rPr>
      </w:pPr>
      <w:r w:rsidRPr="003406EC">
        <w:rPr>
          <w:rFonts w:ascii="Times New Roman" w:hAnsi="Times New Roman" w:cs="Times New Roman"/>
          <w:sz w:val="24"/>
          <w:szCs w:val="24"/>
        </w:rPr>
        <w:t xml:space="preserve">This table presents the results of the dynamic effect of cash ratio in the entire sample and the two subsamples of high cash holding firms and low cash holding firms. Model 1 </w:t>
      </w:r>
      <w:proofErr w:type="gramStart"/>
      <w:r w:rsidRPr="003406EC">
        <w:rPr>
          <w:rFonts w:ascii="Times New Roman" w:hAnsi="Times New Roman" w:cs="Times New Roman"/>
          <w:sz w:val="24"/>
          <w:szCs w:val="24"/>
        </w:rPr>
        <w:t>regresses</w:t>
      </w:r>
      <w:proofErr w:type="gramEnd"/>
      <w:r w:rsidRPr="003406EC">
        <w:rPr>
          <w:rFonts w:ascii="Times New Roman" w:hAnsi="Times New Roman" w:cs="Times New Roman"/>
          <w:sz w:val="24"/>
          <w:szCs w:val="24"/>
        </w:rPr>
        <w:t xml:space="preserve"> the cash ratio with lagged cash ratio and financial ratio factors; macroeconomic risk factors are added to Model 2. Liquidity factor is measured by liquid assets over total assets ratio, solvency factor is estimated using equity over total assets, and repayment ability factor is calculated using EBITD over interest expenses. Inflation and currency risk factors are measured by the standard deviation of changes in monthly data for particular fiscal year. </w:t>
      </w:r>
    </w:p>
    <w:tbl>
      <w:tblPr>
        <w:tblW w:w="9405" w:type="dxa"/>
        <w:tblLayout w:type="fixed"/>
        <w:tblLook w:val="04A0" w:firstRow="1" w:lastRow="0" w:firstColumn="1" w:lastColumn="0" w:noHBand="0" w:noVBand="1"/>
      </w:tblPr>
      <w:tblGrid>
        <w:gridCol w:w="1651"/>
        <w:gridCol w:w="300"/>
        <w:gridCol w:w="1454"/>
        <w:gridCol w:w="1200"/>
        <w:gridCol w:w="1200"/>
        <w:gridCol w:w="1200"/>
        <w:gridCol w:w="1200"/>
        <w:gridCol w:w="1200"/>
      </w:tblGrid>
      <w:tr w:rsidR="00816DCE" w:rsidRPr="00E67992" w:rsidTr="009F7682">
        <w:trPr>
          <w:trHeight w:val="300"/>
        </w:trPr>
        <w:tc>
          <w:tcPr>
            <w:tcW w:w="1651" w:type="dxa"/>
            <w:tcBorders>
              <w:top w:val="single" w:sz="4" w:space="0" w:color="auto"/>
              <w:left w:val="nil"/>
              <w:bottom w:val="nil"/>
              <w:right w:val="nil"/>
            </w:tcBorders>
            <w:shd w:val="clear" w:color="auto" w:fill="auto"/>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300" w:type="dxa"/>
            <w:tcBorders>
              <w:top w:val="single" w:sz="4" w:space="0" w:color="auto"/>
              <w:left w:val="nil"/>
              <w:bottom w:val="nil"/>
              <w:right w:val="single" w:sz="4" w:space="0" w:color="auto"/>
            </w:tcBorders>
            <w:shd w:val="clear" w:color="auto" w:fill="auto"/>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7454" w:type="dxa"/>
            <w:gridSpan w:val="6"/>
            <w:tcBorders>
              <w:top w:val="single" w:sz="4" w:space="0" w:color="auto"/>
              <w:left w:val="single" w:sz="4" w:space="0" w:color="auto"/>
              <w:bottom w:val="single" w:sz="4" w:space="0" w:color="auto"/>
              <w:right w:val="nil"/>
            </w:tcBorders>
            <w:shd w:val="clear" w:color="auto" w:fill="auto"/>
            <w:vAlign w:val="bottom"/>
            <w:hideMark/>
          </w:tcPr>
          <w:p w:rsidR="00816DCE" w:rsidRPr="00E67992" w:rsidRDefault="00816DCE"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Dependent variable: cash ratio</w:t>
            </w:r>
          </w:p>
        </w:tc>
      </w:tr>
      <w:tr w:rsidR="00816DCE" w:rsidRPr="00E67992" w:rsidTr="009F7682">
        <w:trPr>
          <w:trHeight w:val="30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All</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High cash</w:t>
            </w:r>
          </w:p>
        </w:tc>
        <w:tc>
          <w:tcPr>
            <w:tcW w:w="24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center"/>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Low cash</w:t>
            </w:r>
          </w:p>
        </w:tc>
      </w:tr>
      <w:tr w:rsidR="00816DCE" w:rsidRPr="00E67992" w:rsidTr="009F7682">
        <w:trPr>
          <w:trHeight w:val="300"/>
        </w:trPr>
        <w:tc>
          <w:tcPr>
            <w:tcW w:w="1651"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Variable</w:t>
            </w:r>
          </w:p>
        </w:tc>
        <w:tc>
          <w:tcPr>
            <w:tcW w:w="3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1454"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1</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2</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1</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2</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1</w:t>
            </w:r>
          </w:p>
        </w:tc>
        <w:tc>
          <w:tcPr>
            <w:tcW w:w="1200"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Model 2</w:t>
            </w:r>
          </w:p>
        </w:tc>
      </w:tr>
      <w:tr w:rsidR="00816DCE" w:rsidRPr="00E67992" w:rsidTr="009F7682">
        <w:trPr>
          <w:trHeight w:val="300"/>
        </w:trPr>
        <w:tc>
          <w:tcPr>
            <w:tcW w:w="1651" w:type="dxa"/>
            <w:tcBorders>
              <w:top w:val="nil"/>
              <w:left w:val="nil"/>
              <w:bottom w:val="nil"/>
              <w:right w:val="nil"/>
            </w:tcBorders>
            <w:shd w:val="clear" w:color="auto" w:fill="auto"/>
            <w:noWrap/>
            <w:vAlign w:val="center"/>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Constant</w:t>
            </w: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a</w:t>
            </w: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-0.0056</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0.0205</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0.3519</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0.0778</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-0.0070</w:t>
            </w: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0.0124</w:t>
            </w:r>
          </w:p>
        </w:tc>
      </w:tr>
      <w:tr w:rsidR="00816DCE" w:rsidRPr="00E67992" w:rsidTr="009F7682">
        <w:trPr>
          <w:trHeight w:val="8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b</w:t>
            </w: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(-0.5000)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(1.1200)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(4.1800***)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(0.9100)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(-0.6600)</w:t>
            </w: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(0.7100)</w:t>
            </w:r>
          </w:p>
        </w:tc>
      </w:tr>
      <w:tr w:rsidR="00816DCE" w:rsidRPr="00E67992" w:rsidTr="009F7682">
        <w:trPr>
          <w:trHeight w:val="300"/>
        </w:trPr>
        <w:tc>
          <w:tcPr>
            <w:tcW w:w="1651"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c</w:t>
            </w:r>
          </w:p>
        </w:tc>
        <w:tc>
          <w:tcPr>
            <w:tcW w:w="1454"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(0.6190)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(0.2620)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(0.3610)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(0.5100)</w:t>
            </w:r>
          </w:p>
        </w:tc>
        <w:tc>
          <w:tcPr>
            <w:tcW w:w="1200"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(0.4760)</w:t>
            </w:r>
          </w:p>
        </w:tc>
      </w:tr>
      <w:tr w:rsidR="00816DCE" w:rsidRPr="00E67992" w:rsidTr="009F7682">
        <w:trPr>
          <w:trHeight w:val="80"/>
        </w:trPr>
        <w:tc>
          <w:tcPr>
            <w:tcW w:w="1951" w:type="dxa"/>
            <w:gridSpan w:val="2"/>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L. Cash Ratio</w:t>
            </w:r>
          </w:p>
        </w:tc>
        <w:tc>
          <w:tcPr>
            <w:tcW w:w="1454"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0.3164</w:t>
            </w: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0.3110</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0.2737</w:t>
            </w: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0.1304</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0.3413</w:t>
            </w:r>
          </w:p>
        </w:tc>
        <w:tc>
          <w:tcPr>
            <w:tcW w:w="1200" w:type="dxa"/>
            <w:tcBorders>
              <w:top w:val="single" w:sz="4" w:space="0" w:color="auto"/>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0.3228</w:t>
            </w:r>
          </w:p>
        </w:tc>
      </w:tr>
      <w:tr w:rsidR="00816DCE" w:rsidRPr="00E67992" w:rsidTr="009F7682">
        <w:trPr>
          <w:trHeight w:val="30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(5.8300***)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(5.7500***)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(2.6900**)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(2.2200**)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(6.7700***)</w:t>
            </w: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(6.4200***)</w:t>
            </w:r>
          </w:p>
        </w:tc>
      </w:tr>
      <w:tr w:rsidR="00816DCE" w:rsidRPr="00E67992" w:rsidTr="009F7682">
        <w:trPr>
          <w:trHeight w:val="80"/>
        </w:trPr>
        <w:tc>
          <w:tcPr>
            <w:tcW w:w="1651"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(0.0070)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(0.0270)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r>
      <w:tr w:rsidR="00816DCE" w:rsidRPr="00E67992" w:rsidTr="009F7682">
        <w:trPr>
          <w:trHeight w:val="300"/>
        </w:trPr>
        <w:tc>
          <w:tcPr>
            <w:tcW w:w="1951" w:type="dxa"/>
            <w:gridSpan w:val="2"/>
            <w:tcBorders>
              <w:top w:val="single" w:sz="4" w:space="0" w:color="auto"/>
              <w:left w:val="nil"/>
              <w:bottom w:val="nil"/>
              <w:right w:val="single" w:sz="4" w:space="0" w:color="auto"/>
            </w:tcBorders>
            <w:shd w:val="clear" w:color="auto" w:fill="auto"/>
            <w:noWrap/>
            <w:vAlign w:val="center"/>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Liquidity Risk</w:t>
            </w:r>
          </w:p>
        </w:tc>
        <w:tc>
          <w:tcPr>
            <w:tcW w:w="1454"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0.0185</w:t>
            </w: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0.0190</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0.0053</w:t>
            </w: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0.0091</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0.0200</w:t>
            </w:r>
          </w:p>
        </w:tc>
        <w:tc>
          <w:tcPr>
            <w:tcW w:w="1200" w:type="dxa"/>
            <w:tcBorders>
              <w:top w:val="single" w:sz="4" w:space="0" w:color="auto"/>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0.0213</w:t>
            </w:r>
          </w:p>
        </w:tc>
      </w:tr>
      <w:tr w:rsidR="00816DCE" w:rsidRPr="00E67992" w:rsidTr="009F7682">
        <w:trPr>
          <w:trHeight w:val="8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(5.9200***)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(5.5300***)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(2.3400**)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(1.9600**)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(7.1100***)</w:t>
            </w: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(6.7400***)</w:t>
            </w:r>
          </w:p>
        </w:tc>
      </w:tr>
      <w:tr w:rsidR="00816DCE" w:rsidRPr="00E67992" w:rsidTr="009F7682">
        <w:trPr>
          <w:trHeight w:val="80"/>
        </w:trPr>
        <w:tc>
          <w:tcPr>
            <w:tcW w:w="1651"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(0.0190)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(0.0500)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r>
      <w:tr w:rsidR="00816DCE" w:rsidRPr="00E67992" w:rsidTr="009F7682">
        <w:trPr>
          <w:trHeight w:val="80"/>
        </w:trPr>
        <w:tc>
          <w:tcPr>
            <w:tcW w:w="1951" w:type="dxa"/>
            <w:gridSpan w:val="2"/>
            <w:vMerge w:val="restart"/>
            <w:tcBorders>
              <w:top w:val="single" w:sz="4" w:space="0" w:color="auto"/>
              <w:left w:val="nil"/>
              <w:right w:val="single" w:sz="4" w:space="0" w:color="auto"/>
            </w:tcBorders>
            <w:shd w:val="clear" w:color="auto" w:fill="auto"/>
            <w:noWrap/>
            <w:vAlign w:val="center"/>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Repayment ability factor</w:t>
            </w:r>
          </w:p>
        </w:tc>
        <w:tc>
          <w:tcPr>
            <w:tcW w:w="1454"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0.0006</w:t>
            </w: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0.0006</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0.0010</w:t>
            </w: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0.0005</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0.0007</w:t>
            </w:r>
          </w:p>
        </w:tc>
        <w:tc>
          <w:tcPr>
            <w:tcW w:w="1200" w:type="dxa"/>
            <w:tcBorders>
              <w:top w:val="single" w:sz="4" w:space="0" w:color="auto"/>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0.0007</w:t>
            </w:r>
          </w:p>
        </w:tc>
      </w:tr>
      <w:tr w:rsidR="00816DCE" w:rsidRPr="00E67992" w:rsidTr="009F7682">
        <w:trPr>
          <w:trHeight w:val="300"/>
        </w:trPr>
        <w:tc>
          <w:tcPr>
            <w:tcW w:w="1951" w:type="dxa"/>
            <w:gridSpan w:val="2"/>
            <w:vMerge/>
            <w:tcBorders>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(3.2400***)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(3.2300***)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(1.8100*)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(2.2200**)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(4.5500***)</w:t>
            </w: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(4.5500***)</w:t>
            </w:r>
          </w:p>
        </w:tc>
      </w:tr>
      <w:tr w:rsidR="00816DCE" w:rsidRPr="00E67992" w:rsidTr="009F7682">
        <w:trPr>
          <w:trHeight w:val="80"/>
        </w:trPr>
        <w:tc>
          <w:tcPr>
            <w:tcW w:w="1651"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(0.0010)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(0.0010)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(0.0700)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(0.0260)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r>
      <w:tr w:rsidR="00816DCE" w:rsidRPr="00E67992" w:rsidTr="009F7682">
        <w:trPr>
          <w:trHeight w:val="300"/>
        </w:trPr>
        <w:tc>
          <w:tcPr>
            <w:tcW w:w="1951" w:type="dxa"/>
            <w:gridSpan w:val="2"/>
            <w:tcBorders>
              <w:top w:val="single" w:sz="4" w:space="0" w:color="auto"/>
              <w:left w:val="nil"/>
              <w:bottom w:val="nil"/>
              <w:right w:val="single" w:sz="4" w:space="0" w:color="auto"/>
            </w:tcBorders>
            <w:shd w:val="clear" w:color="auto" w:fill="auto"/>
            <w:noWrap/>
            <w:vAlign w:val="center"/>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Solvency factor</w:t>
            </w:r>
          </w:p>
        </w:tc>
        <w:tc>
          <w:tcPr>
            <w:tcW w:w="1454"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0.0003</w:t>
            </w: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0.0003</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0.0007</w:t>
            </w: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0.0004</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0.0005</w:t>
            </w:r>
          </w:p>
        </w:tc>
        <w:tc>
          <w:tcPr>
            <w:tcW w:w="1200" w:type="dxa"/>
            <w:tcBorders>
              <w:top w:val="single" w:sz="4" w:space="0" w:color="auto"/>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0.0004</w:t>
            </w:r>
          </w:p>
        </w:tc>
      </w:tr>
      <w:tr w:rsidR="00816DCE" w:rsidRPr="00E67992" w:rsidTr="009F7682">
        <w:trPr>
          <w:trHeight w:val="8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(1.4100)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(1.5200)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(2.4500**)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(1.4800)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(1.9800**)</w:t>
            </w: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(1.8800*)</w:t>
            </w:r>
          </w:p>
        </w:tc>
      </w:tr>
      <w:tr w:rsidR="00816DCE" w:rsidRPr="00E67992" w:rsidTr="009F7682">
        <w:trPr>
          <w:trHeight w:val="300"/>
        </w:trPr>
        <w:tc>
          <w:tcPr>
            <w:tcW w:w="1651"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(0.1580)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(0.1290)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(0.0140)</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(0.1390)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(0.0470)</w:t>
            </w:r>
          </w:p>
        </w:tc>
        <w:tc>
          <w:tcPr>
            <w:tcW w:w="1200"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(0.0600)</w:t>
            </w:r>
          </w:p>
        </w:tc>
      </w:tr>
      <w:tr w:rsidR="00816DCE" w:rsidRPr="00E67992" w:rsidTr="009F7682">
        <w:trPr>
          <w:trHeight w:val="300"/>
        </w:trPr>
        <w:tc>
          <w:tcPr>
            <w:tcW w:w="1951" w:type="dxa"/>
            <w:gridSpan w:val="2"/>
            <w:tcBorders>
              <w:top w:val="single" w:sz="4" w:space="0" w:color="auto"/>
              <w:left w:val="nil"/>
              <w:bottom w:val="nil"/>
              <w:right w:val="single" w:sz="4" w:space="0" w:color="auto"/>
            </w:tcBorders>
            <w:shd w:val="clear" w:color="auto" w:fill="auto"/>
            <w:noWrap/>
            <w:vAlign w:val="center"/>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Inflation Risk</w:t>
            </w:r>
          </w:p>
        </w:tc>
        <w:tc>
          <w:tcPr>
            <w:tcW w:w="1454"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-5.5697</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-13.4356</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-3.7371</w:t>
            </w:r>
          </w:p>
        </w:tc>
      </w:tr>
      <w:tr w:rsidR="00816DCE" w:rsidRPr="00E67992" w:rsidTr="009F7682">
        <w:trPr>
          <w:trHeight w:val="30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(-1.9900**)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(-2.4000**)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(-1.4400)</w:t>
            </w:r>
          </w:p>
        </w:tc>
      </w:tr>
      <w:tr w:rsidR="00816DCE" w:rsidRPr="00E67992" w:rsidTr="009F7682">
        <w:trPr>
          <w:trHeight w:val="300"/>
        </w:trPr>
        <w:tc>
          <w:tcPr>
            <w:tcW w:w="1651"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(0.0470)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(0.0160)</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(0.1510)</w:t>
            </w:r>
          </w:p>
        </w:tc>
      </w:tr>
      <w:tr w:rsidR="00816DCE" w:rsidRPr="00E67992" w:rsidTr="009F7682">
        <w:trPr>
          <w:trHeight w:val="300"/>
        </w:trPr>
        <w:tc>
          <w:tcPr>
            <w:tcW w:w="1951" w:type="dxa"/>
            <w:gridSpan w:val="2"/>
            <w:tcBorders>
              <w:top w:val="single" w:sz="4" w:space="0" w:color="auto"/>
              <w:left w:val="nil"/>
              <w:bottom w:val="nil"/>
              <w:right w:val="single" w:sz="4" w:space="0" w:color="auto"/>
            </w:tcBorders>
            <w:shd w:val="clear" w:color="auto" w:fill="auto"/>
            <w:noWrap/>
            <w:vAlign w:val="center"/>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Currency Risk</w:t>
            </w:r>
          </w:p>
        </w:tc>
        <w:tc>
          <w:tcPr>
            <w:tcW w:w="1454"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-0.2597</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4.3455</w:t>
            </w:r>
          </w:p>
        </w:tc>
        <w:tc>
          <w:tcPr>
            <w:tcW w:w="1200" w:type="dxa"/>
            <w:tcBorders>
              <w:top w:val="single" w:sz="4" w:space="0" w:color="auto"/>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single" w:sz="4" w:space="0" w:color="auto"/>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-0.0976</w:t>
            </w:r>
          </w:p>
        </w:tc>
      </w:tr>
      <w:tr w:rsidR="00816DCE" w:rsidRPr="00E67992" w:rsidTr="009F7682">
        <w:trPr>
          <w:trHeight w:val="8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(-1.1600)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(5.9100***)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(-0.4600)</w:t>
            </w:r>
          </w:p>
        </w:tc>
      </w:tr>
      <w:tr w:rsidR="00816DCE" w:rsidRPr="00E67992" w:rsidTr="009F7682">
        <w:trPr>
          <w:trHeight w:val="30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(0.2470)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(0.6450)</w:t>
            </w:r>
          </w:p>
        </w:tc>
      </w:tr>
      <w:tr w:rsidR="00816DCE" w:rsidRPr="00E67992" w:rsidTr="009F7682">
        <w:trPr>
          <w:trHeight w:val="80"/>
        </w:trPr>
        <w:tc>
          <w:tcPr>
            <w:tcW w:w="1651"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1454"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c>
          <w:tcPr>
            <w:tcW w:w="1200"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w:t>
            </w:r>
          </w:p>
        </w:tc>
      </w:tr>
      <w:tr w:rsidR="00816DCE" w:rsidRPr="00E67992" w:rsidTr="009F7682">
        <w:trPr>
          <w:trHeight w:val="30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 xml:space="preserve">Wald chi </w:t>
            </w: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158.3100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163.9600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389.0200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382.3000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217.6400</w:t>
            </w: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232.2300</w:t>
            </w:r>
          </w:p>
        </w:tc>
      </w:tr>
      <w:tr w:rsidR="00816DCE" w:rsidRPr="00E67992" w:rsidTr="009F7682">
        <w:trPr>
          <w:trHeight w:val="300"/>
        </w:trPr>
        <w:tc>
          <w:tcPr>
            <w:tcW w:w="1651"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p-value</w:t>
            </w:r>
          </w:p>
        </w:tc>
        <w:tc>
          <w:tcPr>
            <w:tcW w:w="3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nil"/>
              <w:bottom w:val="nil"/>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single" w:sz="4" w:space="0" w:color="auto"/>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c>
          <w:tcPr>
            <w:tcW w:w="1200" w:type="dxa"/>
            <w:tcBorders>
              <w:top w:val="nil"/>
              <w:left w:val="nil"/>
              <w:bottom w:val="nil"/>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r w:rsidRPr="00E67992">
              <w:rPr>
                <w:rFonts w:ascii="Times New Roman" w:eastAsia="Times New Roman" w:hAnsi="Times New Roman" w:cs="Times New Roman"/>
                <w:color w:val="000000"/>
                <w:sz w:val="20"/>
                <w:szCs w:val="20"/>
              </w:rPr>
              <w:t>(0.0000***)</w:t>
            </w:r>
          </w:p>
        </w:tc>
      </w:tr>
      <w:tr w:rsidR="00816DCE" w:rsidRPr="00E67992" w:rsidTr="009F7682">
        <w:trPr>
          <w:trHeight w:val="300"/>
        </w:trPr>
        <w:tc>
          <w:tcPr>
            <w:tcW w:w="1951" w:type="dxa"/>
            <w:gridSpan w:val="2"/>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rPr>
                <w:rFonts w:ascii="Times New Roman" w:eastAsia="Times New Roman" w:hAnsi="Times New Roman" w:cs="Times New Roman"/>
                <w:color w:val="000000"/>
                <w:sz w:val="20"/>
                <w:szCs w:val="20"/>
              </w:rPr>
            </w:pPr>
          </w:p>
        </w:tc>
        <w:tc>
          <w:tcPr>
            <w:tcW w:w="1454"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single" w:sz="4" w:space="0" w:color="auto"/>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c>
          <w:tcPr>
            <w:tcW w:w="1200" w:type="dxa"/>
            <w:tcBorders>
              <w:top w:val="nil"/>
              <w:left w:val="nil"/>
              <w:bottom w:val="single" w:sz="4" w:space="0" w:color="auto"/>
              <w:right w:val="nil"/>
            </w:tcBorders>
            <w:shd w:val="clear" w:color="auto" w:fill="auto"/>
            <w:noWrap/>
            <w:vAlign w:val="bottom"/>
            <w:hideMark/>
          </w:tcPr>
          <w:p w:rsidR="00816DCE" w:rsidRPr="00E67992" w:rsidRDefault="00816DCE" w:rsidP="003D6DDA">
            <w:pPr>
              <w:tabs>
                <w:tab w:val="left" w:pos="810"/>
              </w:tabs>
              <w:spacing w:after="0" w:line="240" w:lineRule="auto"/>
              <w:jc w:val="right"/>
              <w:rPr>
                <w:rFonts w:ascii="Times New Roman" w:eastAsia="Times New Roman" w:hAnsi="Times New Roman" w:cs="Times New Roman"/>
                <w:color w:val="000000"/>
                <w:sz w:val="20"/>
                <w:szCs w:val="20"/>
              </w:rPr>
            </w:pPr>
          </w:p>
        </w:tc>
      </w:tr>
    </w:tbl>
    <w:p w:rsidR="00816DCE" w:rsidRPr="003406EC" w:rsidRDefault="00816DCE"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Note: a =coefficients, b = t-statistics, c = p-values, significant at 0.01(*), 0.05(**), 0.001(***) level.</w:t>
      </w:r>
    </w:p>
    <w:p w:rsidR="00816DCE" w:rsidRDefault="00816DCE"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3D6DDA" w:rsidRDefault="003D6DDA" w:rsidP="003D6DDA">
      <w:pPr>
        <w:spacing w:after="0" w:line="240" w:lineRule="auto"/>
        <w:jc w:val="both"/>
        <w:rPr>
          <w:rFonts w:ascii="Times New Roman" w:hAnsi="Times New Roman" w:cs="Times New Roman"/>
          <w:sz w:val="24"/>
          <w:szCs w:val="24"/>
        </w:rPr>
      </w:pPr>
    </w:p>
    <w:p w:rsidR="00816DCE" w:rsidRDefault="00816DCE" w:rsidP="003D6DDA">
      <w:pPr>
        <w:spacing w:after="0" w:line="240" w:lineRule="auto"/>
        <w:ind w:firstLine="720"/>
        <w:jc w:val="both"/>
        <w:rPr>
          <w:rFonts w:ascii="Times New Roman" w:hAnsi="Times New Roman" w:cs="Times New Roman"/>
          <w:sz w:val="24"/>
          <w:szCs w:val="24"/>
        </w:rPr>
      </w:pPr>
    </w:p>
    <w:p w:rsidR="00B81D0A" w:rsidRPr="003406EC" w:rsidRDefault="00B81D0A" w:rsidP="003D6DDA">
      <w:pPr>
        <w:tabs>
          <w:tab w:val="left" w:pos="810"/>
        </w:tabs>
        <w:spacing w:after="0" w:line="240" w:lineRule="auto"/>
        <w:jc w:val="center"/>
        <w:rPr>
          <w:rFonts w:ascii="Times New Roman" w:hAnsi="Times New Roman" w:cs="Times New Roman"/>
          <w:b/>
          <w:sz w:val="24"/>
          <w:szCs w:val="24"/>
        </w:rPr>
      </w:pPr>
      <w:r w:rsidRPr="003406EC">
        <w:rPr>
          <w:rFonts w:ascii="Times New Roman" w:hAnsi="Times New Roman" w:cs="Times New Roman"/>
          <w:b/>
          <w:sz w:val="24"/>
          <w:szCs w:val="24"/>
        </w:rPr>
        <w:lastRenderedPageBreak/>
        <w:t>Table 4: GMM estimation of impact of firm-level and macroeconomic factors on cash holdings ratio for listed firms in Bursa Malaysia starting from 2001 to 2012 using two-year moving average</w:t>
      </w:r>
    </w:p>
    <w:p w:rsidR="00B81D0A" w:rsidRPr="003406EC" w:rsidRDefault="00B81D0A" w:rsidP="003D6DDA">
      <w:pPr>
        <w:tabs>
          <w:tab w:val="left" w:pos="810"/>
        </w:tabs>
        <w:spacing w:after="0" w:line="240" w:lineRule="auto"/>
        <w:jc w:val="both"/>
        <w:rPr>
          <w:rFonts w:ascii="Times New Roman" w:hAnsi="Times New Roman" w:cs="Times New Roman"/>
          <w:b/>
          <w:sz w:val="24"/>
          <w:szCs w:val="24"/>
        </w:rPr>
      </w:pPr>
      <w:r w:rsidRPr="003406EC">
        <w:rPr>
          <w:rFonts w:ascii="Times New Roman" w:hAnsi="Times New Roman" w:cs="Times New Roman"/>
          <w:sz w:val="24"/>
          <w:szCs w:val="24"/>
        </w:rPr>
        <w:t xml:space="preserve">This table presents the results of the dynamic effect of cash ratio in the entire sample and the two subsamples of high cash holding firms and low cash holding firms. Model 1 </w:t>
      </w:r>
      <w:proofErr w:type="gramStart"/>
      <w:r w:rsidRPr="003406EC">
        <w:rPr>
          <w:rFonts w:ascii="Times New Roman" w:hAnsi="Times New Roman" w:cs="Times New Roman"/>
          <w:sz w:val="24"/>
          <w:szCs w:val="24"/>
        </w:rPr>
        <w:t>regresses</w:t>
      </w:r>
      <w:proofErr w:type="gramEnd"/>
      <w:r w:rsidRPr="003406EC">
        <w:rPr>
          <w:rFonts w:ascii="Times New Roman" w:hAnsi="Times New Roman" w:cs="Times New Roman"/>
          <w:sz w:val="24"/>
          <w:szCs w:val="24"/>
        </w:rPr>
        <w:t xml:space="preserve"> the cash ratio with lagged cash ratio and financial ratio factors; macroeconomic risk factors are added to Model 2. Liquidity factor is measured by liquid assets over total assets ratio, solvency factor is estimated using equity over total assets, and repayment ability factor is calculated using EBITD over interest expenses. Inflation and currency risk factors are measured by the standard deviation of changes in monthly data for particular fiscal year. </w:t>
      </w:r>
    </w:p>
    <w:tbl>
      <w:tblPr>
        <w:tblW w:w="5234" w:type="pct"/>
        <w:tblLayout w:type="fixed"/>
        <w:tblLook w:val="04A0" w:firstRow="1" w:lastRow="0" w:firstColumn="1" w:lastColumn="0" w:noHBand="0" w:noVBand="1"/>
      </w:tblPr>
      <w:tblGrid>
        <w:gridCol w:w="877"/>
        <w:gridCol w:w="648"/>
        <w:gridCol w:w="279"/>
        <w:gridCol w:w="1311"/>
        <w:gridCol w:w="1429"/>
        <w:gridCol w:w="1375"/>
        <w:gridCol w:w="1321"/>
        <w:gridCol w:w="1393"/>
        <w:gridCol w:w="1391"/>
      </w:tblGrid>
      <w:tr w:rsidR="00B81D0A" w:rsidRPr="007071EF" w:rsidTr="00B81D0A">
        <w:trPr>
          <w:trHeight w:val="300"/>
        </w:trPr>
        <w:tc>
          <w:tcPr>
            <w:tcW w:w="760" w:type="pct"/>
            <w:gridSpan w:val="2"/>
            <w:tcBorders>
              <w:top w:val="single" w:sz="4" w:space="0" w:color="auto"/>
              <w:left w:val="nil"/>
              <w:bottom w:val="nil"/>
              <w:right w:val="nil"/>
            </w:tcBorders>
            <w:shd w:val="clear" w:color="auto" w:fill="auto"/>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139" w:type="pct"/>
            <w:tcBorders>
              <w:top w:val="single" w:sz="4" w:space="0" w:color="auto"/>
              <w:left w:val="nil"/>
              <w:bottom w:val="nil"/>
              <w:right w:val="single" w:sz="4" w:space="0" w:color="auto"/>
            </w:tcBorders>
            <w:shd w:val="clear" w:color="auto" w:fill="auto"/>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4101" w:type="pct"/>
            <w:gridSpan w:val="6"/>
            <w:tcBorders>
              <w:top w:val="single" w:sz="4" w:space="0" w:color="auto"/>
              <w:left w:val="single" w:sz="4" w:space="0" w:color="auto"/>
              <w:bottom w:val="single" w:sz="4" w:space="0" w:color="auto"/>
              <w:right w:val="nil"/>
            </w:tcBorders>
            <w:shd w:val="clear" w:color="auto" w:fill="auto"/>
            <w:vAlign w:val="bottom"/>
            <w:hideMark/>
          </w:tcPr>
          <w:p w:rsidR="00B81D0A" w:rsidRPr="007071EF"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Dependent variable: cash ratio</w:t>
            </w:r>
          </w:p>
        </w:tc>
      </w:tr>
      <w:tr w:rsidR="00B81D0A" w:rsidRPr="007071EF" w:rsidTr="00B81D0A">
        <w:trPr>
          <w:trHeight w:val="300"/>
        </w:trPr>
        <w:tc>
          <w:tcPr>
            <w:tcW w:w="760" w:type="pct"/>
            <w:gridSpan w:val="2"/>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All</w:t>
            </w:r>
          </w:p>
        </w:tc>
        <w:tc>
          <w:tcPr>
            <w:tcW w:w="13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High cash</w:t>
            </w:r>
          </w:p>
        </w:tc>
        <w:tc>
          <w:tcPr>
            <w:tcW w:w="1389" w:type="pct"/>
            <w:gridSpan w:val="2"/>
            <w:tcBorders>
              <w:top w:val="single" w:sz="4" w:space="0" w:color="auto"/>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center"/>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Low cash</w:t>
            </w:r>
          </w:p>
        </w:tc>
      </w:tr>
      <w:tr w:rsidR="00B81D0A" w:rsidRPr="007071EF" w:rsidTr="00B81D0A">
        <w:trPr>
          <w:trHeight w:val="300"/>
        </w:trPr>
        <w:tc>
          <w:tcPr>
            <w:tcW w:w="760" w:type="pct"/>
            <w:gridSpan w:val="2"/>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Variable</w:t>
            </w:r>
          </w:p>
        </w:tc>
        <w:tc>
          <w:tcPr>
            <w:tcW w:w="13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54"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Model 1</w:t>
            </w:r>
          </w:p>
        </w:tc>
        <w:tc>
          <w:tcPr>
            <w:tcW w:w="713"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Model 2</w:t>
            </w:r>
          </w:p>
        </w:tc>
        <w:tc>
          <w:tcPr>
            <w:tcW w:w="686"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Model 1</w:t>
            </w:r>
          </w:p>
        </w:tc>
        <w:tc>
          <w:tcPr>
            <w:tcW w:w="65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Model 2</w:t>
            </w:r>
          </w:p>
        </w:tc>
        <w:tc>
          <w:tcPr>
            <w:tcW w:w="695"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Model 1</w:t>
            </w:r>
          </w:p>
        </w:tc>
        <w:tc>
          <w:tcPr>
            <w:tcW w:w="694"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Model 2</w:t>
            </w:r>
          </w:p>
        </w:tc>
      </w:tr>
      <w:tr w:rsidR="00B81D0A" w:rsidRPr="007071EF" w:rsidTr="00B81D0A">
        <w:trPr>
          <w:trHeight w:val="201"/>
        </w:trPr>
        <w:tc>
          <w:tcPr>
            <w:tcW w:w="760" w:type="pct"/>
            <w:gridSpan w:val="2"/>
            <w:tcBorders>
              <w:top w:val="nil"/>
              <w:left w:val="nil"/>
              <w:bottom w:val="nil"/>
              <w:right w:val="nil"/>
            </w:tcBorders>
            <w:shd w:val="clear" w:color="auto" w:fill="auto"/>
            <w:noWrap/>
            <w:vAlign w:val="center"/>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Constant</w:t>
            </w: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a</w:t>
            </w: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0.0014</w:t>
            </w: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0.0112</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0.1045</w:t>
            </w: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0.1044</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0.0754</w:t>
            </w: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0.0160</w:t>
            </w:r>
          </w:p>
        </w:tc>
      </w:tr>
      <w:tr w:rsidR="00B81D0A" w:rsidRPr="007071EF" w:rsidTr="00B81D0A">
        <w:trPr>
          <w:trHeight w:val="80"/>
        </w:trPr>
        <w:tc>
          <w:tcPr>
            <w:tcW w:w="760" w:type="pct"/>
            <w:gridSpan w:val="2"/>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b</w:t>
            </w: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(0.1400)</w:t>
            </w: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(1.0300)</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(7.0400***)</w:t>
            </w: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(0.4700)</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(6.0600***)</w:t>
            </w: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(1.5800)</w:t>
            </w:r>
          </w:p>
        </w:tc>
      </w:tr>
      <w:tr w:rsidR="00B81D0A" w:rsidRPr="007071EF" w:rsidTr="00B81D0A">
        <w:trPr>
          <w:trHeight w:val="300"/>
        </w:trPr>
        <w:tc>
          <w:tcPr>
            <w:tcW w:w="760" w:type="pct"/>
            <w:gridSpan w:val="2"/>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c</w:t>
            </w:r>
          </w:p>
        </w:tc>
        <w:tc>
          <w:tcPr>
            <w:tcW w:w="654"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(0.8910)</w:t>
            </w:r>
          </w:p>
        </w:tc>
        <w:tc>
          <w:tcPr>
            <w:tcW w:w="713"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(0.3010)</w:t>
            </w:r>
          </w:p>
        </w:tc>
        <w:tc>
          <w:tcPr>
            <w:tcW w:w="686"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5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(0.6410)</w:t>
            </w:r>
          </w:p>
        </w:tc>
        <w:tc>
          <w:tcPr>
            <w:tcW w:w="695"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94"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(0.1130)</w:t>
            </w:r>
          </w:p>
        </w:tc>
      </w:tr>
      <w:tr w:rsidR="00B81D0A" w:rsidRPr="007071EF" w:rsidTr="00B81D0A">
        <w:trPr>
          <w:trHeight w:val="80"/>
        </w:trPr>
        <w:tc>
          <w:tcPr>
            <w:tcW w:w="899" w:type="pct"/>
            <w:gridSpan w:val="3"/>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L. cash ratio</w:t>
            </w:r>
          </w:p>
        </w:tc>
        <w:tc>
          <w:tcPr>
            <w:tcW w:w="654"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0.5742</w:t>
            </w:r>
          </w:p>
        </w:tc>
        <w:tc>
          <w:tcPr>
            <w:tcW w:w="713"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0.5082</w:t>
            </w:r>
          </w:p>
        </w:tc>
        <w:tc>
          <w:tcPr>
            <w:tcW w:w="686"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0.3265</w:t>
            </w:r>
          </w:p>
        </w:tc>
        <w:tc>
          <w:tcPr>
            <w:tcW w:w="659"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0.3200</w:t>
            </w:r>
          </w:p>
        </w:tc>
        <w:tc>
          <w:tcPr>
            <w:tcW w:w="695"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0.4567</w:t>
            </w:r>
          </w:p>
        </w:tc>
        <w:tc>
          <w:tcPr>
            <w:tcW w:w="694" w:type="pct"/>
            <w:tcBorders>
              <w:top w:val="single" w:sz="4" w:space="0" w:color="auto"/>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0.4646</w:t>
            </w:r>
          </w:p>
        </w:tc>
      </w:tr>
      <w:tr w:rsidR="00B81D0A" w:rsidRPr="007071EF" w:rsidTr="00B81D0A">
        <w:trPr>
          <w:trHeight w:val="80"/>
        </w:trPr>
        <w:tc>
          <w:tcPr>
            <w:tcW w:w="437"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462" w:type="pct"/>
            <w:gridSpan w:val="2"/>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(3.7200***)</w:t>
            </w: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(3.3000***)</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(5.8500***)</w:t>
            </w: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(4.9200***)</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(3.7100***)</w:t>
            </w: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(4.3300***)</w:t>
            </w:r>
          </w:p>
        </w:tc>
      </w:tr>
      <w:tr w:rsidR="00B81D0A" w:rsidRPr="007071EF" w:rsidTr="00B81D0A">
        <w:trPr>
          <w:trHeight w:val="300"/>
        </w:trPr>
        <w:tc>
          <w:tcPr>
            <w:tcW w:w="437"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462" w:type="pct"/>
            <w:gridSpan w:val="2"/>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713"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86"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5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95"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94"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r>
      <w:tr w:rsidR="00B81D0A" w:rsidRPr="007071EF" w:rsidTr="00B81D0A">
        <w:trPr>
          <w:trHeight w:val="300"/>
        </w:trPr>
        <w:tc>
          <w:tcPr>
            <w:tcW w:w="899" w:type="pct"/>
            <w:gridSpan w:val="3"/>
            <w:tcBorders>
              <w:top w:val="single" w:sz="4" w:space="0" w:color="auto"/>
              <w:left w:val="nil"/>
              <w:bottom w:val="nil"/>
              <w:right w:val="single" w:sz="4" w:space="0" w:color="auto"/>
            </w:tcBorders>
            <w:shd w:val="clear" w:color="auto" w:fill="auto"/>
            <w:noWrap/>
            <w:vAlign w:val="center"/>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Liquidity factor</w:t>
            </w:r>
          </w:p>
        </w:tc>
        <w:tc>
          <w:tcPr>
            <w:tcW w:w="654"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0.0083</w:t>
            </w:r>
          </w:p>
        </w:tc>
        <w:tc>
          <w:tcPr>
            <w:tcW w:w="713"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0.0056</w:t>
            </w:r>
          </w:p>
        </w:tc>
        <w:tc>
          <w:tcPr>
            <w:tcW w:w="686"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0.0293</w:t>
            </w:r>
          </w:p>
        </w:tc>
        <w:tc>
          <w:tcPr>
            <w:tcW w:w="659"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0.0334</w:t>
            </w:r>
          </w:p>
        </w:tc>
        <w:tc>
          <w:tcPr>
            <w:tcW w:w="695"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0.0066</w:t>
            </w:r>
          </w:p>
        </w:tc>
        <w:tc>
          <w:tcPr>
            <w:tcW w:w="694" w:type="pct"/>
            <w:tcBorders>
              <w:top w:val="single" w:sz="4" w:space="0" w:color="auto"/>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0.0055</w:t>
            </w:r>
          </w:p>
        </w:tc>
      </w:tr>
      <w:tr w:rsidR="00B81D0A" w:rsidRPr="007071EF" w:rsidTr="00B81D0A">
        <w:trPr>
          <w:trHeight w:val="80"/>
        </w:trPr>
        <w:tc>
          <w:tcPr>
            <w:tcW w:w="760" w:type="pct"/>
            <w:gridSpan w:val="2"/>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(2.4900**)</w:t>
            </w: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(1.8200*)</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(5.3400***)</w:t>
            </w: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(3.4300***)</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(2.0200**)</w:t>
            </w: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(1.8200*)</w:t>
            </w:r>
          </w:p>
        </w:tc>
      </w:tr>
      <w:tr w:rsidR="00B81D0A" w:rsidRPr="007071EF" w:rsidTr="00B81D0A">
        <w:trPr>
          <w:trHeight w:val="80"/>
        </w:trPr>
        <w:tc>
          <w:tcPr>
            <w:tcW w:w="760" w:type="pct"/>
            <w:gridSpan w:val="2"/>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(0.0130)</w:t>
            </w:r>
          </w:p>
        </w:tc>
        <w:tc>
          <w:tcPr>
            <w:tcW w:w="713"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(0.0690)</w:t>
            </w:r>
          </w:p>
        </w:tc>
        <w:tc>
          <w:tcPr>
            <w:tcW w:w="686"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5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95"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(0.0430)</w:t>
            </w:r>
          </w:p>
        </w:tc>
        <w:tc>
          <w:tcPr>
            <w:tcW w:w="694"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(0.0690)</w:t>
            </w:r>
          </w:p>
        </w:tc>
      </w:tr>
      <w:tr w:rsidR="00B81D0A" w:rsidRPr="007071EF" w:rsidTr="00B81D0A">
        <w:trPr>
          <w:trHeight w:val="70"/>
        </w:trPr>
        <w:tc>
          <w:tcPr>
            <w:tcW w:w="899" w:type="pct"/>
            <w:gridSpan w:val="3"/>
            <w:vMerge w:val="restart"/>
            <w:tcBorders>
              <w:top w:val="single" w:sz="4" w:space="0" w:color="auto"/>
              <w:left w:val="nil"/>
              <w:right w:val="single" w:sz="4" w:space="0" w:color="auto"/>
            </w:tcBorders>
            <w:shd w:val="clear" w:color="auto" w:fill="auto"/>
            <w:noWrap/>
            <w:vAlign w:val="center"/>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Repayment ability factor</w:t>
            </w:r>
          </w:p>
        </w:tc>
        <w:tc>
          <w:tcPr>
            <w:tcW w:w="654"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0.0012</w:t>
            </w:r>
          </w:p>
        </w:tc>
        <w:tc>
          <w:tcPr>
            <w:tcW w:w="713"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0.0004</w:t>
            </w:r>
          </w:p>
        </w:tc>
        <w:tc>
          <w:tcPr>
            <w:tcW w:w="686"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0.0014</w:t>
            </w:r>
          </w:p>
        </w:tc>
        <w:tc>
          <w:tcPr>
            <w:tcW w:w="659"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0.0014</w:t>
            </w:r>
          </w:p>
        </w:tc>
        <w:tc>
          <w:tcPr>
            <w:tcW w:w="695"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0.0004</w:t>
            </w:r>
          </w:p>
        </w:tc>
        <w:tc>
          <w:tcPr>
            <w:tcW w:w="694" w:type="pct"/>
            <w:tcBorders>
              <w:top w:val="single" w:sz="4" w:space="0" w:color="auto"/>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0.0007</w:t>
            </w:r>
          </w:p>
        </w:tc>
      </w:tr>
      <w:tr w:rsidR="00B81D0A" w:rsidRPr="007071EF" w:rsidTr="00B81D0A">
        <w:trPr>
          <w:trHeight w:val="345"/>
        </w:trPr>
        <w:tc>
          <w:tcPr>
            <w:tcW w:w="899" w:type="pct"/>
            <w:gridSpan w:val="3"/>
            <w:vMerge/>
            <w:tcBorders>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(3.0600**)</w:t>
            </w: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(1.0400)</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(4.1600***)</w:t>
            </w: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(3.7600***)</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(0.8500)</w:t>
            </w: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(1.7700*)</w:t>
            </w:r>
          </w:p>
        </w:tc>
      </w:tr>
      <w:tr w:rsidR="00B81D0A" w:rsidRPr="007071EF" w:rsidTr="00B81D0A">
        <w:trPr>
          <w:trHeight w:val="80"/>
        </w:trPr>
        <w:tc>
          <w:tcPr>
            <w:tcW w:w="760" w:type="pct"/>
            <w:gridSpan w:val="2"/>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(0.0020)</w:t>
            </w:r>
          </w:p>
        </w:tc>
        <w:tc>
          <w:tcPr>
            <w:tcW w:w="713"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(0.2970)</w:t>
            </w:r>
          </w:p>
        </w:tc>
        <w:tc>
          <w:tcPr>
            <w:tcW w:w="686"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5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95"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(0.3950)</w:t>
            </w:r>
          </w:p>
        </w:tc>
        <w:tc>
          <w:tcPr>
            <w:tcW w:w="694"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(0.0760)</w:t>
            </w:r>
          </w:p>
        </w:tc>
      </w:tr>
      <w:tr w:rsidR="00B81D0A" w:rsidRPr="007071EF" w:rsidTr="00B81D0A">
        <w:trPr>
          <w:trHeight w:val="80"/>
        </w:trPr>
        <w:tc>
          <w:tcPr>
            <w:tcW w:w="899" w:type="pct"/>
            <w:gridSpan w:val="3"/>
            <w:tcBorders>
              <w:top w:val="single" w:sz="4" w:space="0" w:color="auto"/>
              <w:left w:val="nil"/>
              <w:bottom w:val="nil"/>
              <w:right w:val="single" w:sz="4" w:space="0" w:color="auto"/>
            </w:tcBorders>
            <w:shd w:val="clear" w:color="auto" w:fill="auto"/>
            <w:noWrap/>
            <w:vAlign w:val="center"/>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Solvency factor</w:t>
            </w:r>
          </w:p>
        </w:tc>
        <w:tc>
          <w:tcPr>
            <w:tcW w:w="654"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713"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0.0001</w:t>
            </w:r>
          </w:p>
        </w:tc>
        <w:tc>
          <w:tcPr>
            <w:tcW w:w="686"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0.0001</w:t>
            </w:r>
          </w:p>
        </w:tc>
        <w:tc>
          <w:tcPr>
            <w:tcW w:w="659"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0.0002</w:t>
            </w:r>
          </w:p>
        </w:tc>
        <w:tc>
          <w:tcPr>
            <w:tcW w:w="695"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0.0005</w:t>
            </w:r>
          </w:p>
        </w:tc>
        <w:tc>
          <w:tcPr>
            <w:tcW w:w="694" w:type="pct"/>
            <w:tcBorders>
              <w:top w:val="single" w:sz="4" w:space="0" w:color="auto"/>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0.0001</w:t>
            </w:r>
          </w:p>
        </w:tc>
      </w:tr>
      <w:tr w:rsidR="00B81D0A" w:rsidRPr="007071EF" w:rsidTr="00B81D0A">
        <w:trPr>
          <w:trHeight w:val="300"/>
        </w:trPr>
        <w:tc>
          <w:tcPr>
            <w:tcW w:w="760" w:type="pct"/>
            <w:gridSpan w:val="2"/>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(0.0200)</w:t>
            </w: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(0.4600)</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(0.3400)</w:t>
            </w: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(0.4300)</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(1.7500*)</w:t>
            </w: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(0.4600)</w:t>
            </w:r>
          </w:p>
        </w:tc>
      </w:tr>
      <w:tr w:rsidR="00B81D0A" w:rsidRPr="007071EF" w:rsidTr="00B81D0A">
        <w:trPr>
          <w:trHeight w:val="80"/>
        </w:trPr>
        <w:tc>
          <w:tcPr>
            <w:tcW w:w="760" w:type="pct"/>
            <w:gridSpan w:val="2"/>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(0.9840)</w:t>
            </w:r>
          </w:p>
        </w:tc>
        <w:tc>
          <w:tcPr>
            <w:tcW w:w="713"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(0.6490)</w:t>
            </w:r>
          </w:p>
        </w:tc>
        <w:tc>
          <w:tcPr>
            <w:tcW w:w="686"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(0.7340)</w:t>
            </w:r>
          </w:p>
        </w:tc>
        <w:tc>
          <w:tcPr>
            <w:tcW w:w="65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(0.6680)</w:t>
            </w:r>
          </w:p>
        </w:tc>
        <w:tc>
          <w:tcPr>
            <w:tcW w:w="695"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(0.0800)</w:t>
            </w:r>
          </w:p>
        </w:tc>
        <w:tc>
          <w:tcPr>
            <w:tcW w:w="694"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(0.6420)</w:t>
            </w:r>
          </w:p>
        </w:tc>
      </w:tr>
      <w:tr w:rsidR="00B81D0A" w:rsidRPr="007071EF" w:rsidTr="00B81D0A">
        <w:trPr>
          <w:trHeight w:val="70"/>
        </w:trPr>
        <w:tc>
          <w:tcPr>
            <w:tcW w:w="899" w:type="pct"/>
            <w:gridSpan w:val="3"/>
            <w:tcBorders>
              <w:top w:val="single" w:sz="4" w:space="0" w:color="auto"/>
              <w:left w:val="nil"/>
              <w:bottom w:val="nil"/>
              <w:right w:val="single" w:sz="4" w:space="0" w:color="auto"/>
            </w:tcBorders>
            <w:shd w:val="clear" w:color="auto" w:fill="auto"/>
            <w:noWrap/>
            <w:vAlign w:val="center"/>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Inflation risk</w:t>
            </w:r>
          </w:p>
        </w:tc>
        <w:tc>
          <w:tcPr>
            <w:tcW w:w="654"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-2.258</w:t>
            </w:r>
          </w:p>
        </w:tc>
        <w:tc>
          <w:tcPr>
            <w:tcW w:w="686"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-1.4907</w:t>
            </w:r>
          </w:p>
        </w:tc>
        <w:tc>
          <w:tcPr>
            <w:tcW w:w="695"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94" w:type="pct"/>
            <w:tcBorders>
              <w:top w:val="single" w:sz="4" w:space="0" w:color="auto"/>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-2.3637</w:t>
            </w:r>
          </w:p>
        </w:tc>
      </w:tr>
      <w:tr w:rsidR="00B81D0A" w:rsidRPr="007071EF" w:rsidTr="00B81D0A">
        <w:trPr>
          <w:trHeight w:val="80"/>
        </w:trPr>
        <w:tc>
          <w:tcPr>
            <w:tcW w:w="760" w:type="pct"/>
            <w:gridSpan w:val="2"/>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(-4.5200***)</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(-1.2600)</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(-4.7800***)</w:t>
            </w:r>
          </w:p>
        </w:tc>
      </w:tr>
      <w:tr w:rsidR="00B81D0A" w:rsidRPr="007071EF" w:rsidTr="00B81D0A">
        <w:trPr>
          <w:trHeight w:val="80"/>
        </w:trPr>
        <w:tc>
          <w:tcPr>
            <w:tcW w:w="760" w:type="pct"/>
            <w:gridSpan w:val="2"/>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86"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(0.2090)</w:t>
            </w:r>
          </w:p>
        </w:tc>
        <w:tc>
          <w:tcPr>
            <w:tcW w:w="695"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94"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r>
      <w:tr w:rsidR="00B81D0A" w:rsidRPr="007071EF" w:rsidTr="00B81D0A">
        <w:trPr>
          <w:trHeight w:val="70"/>
        </w:trPr>
        <w:tc>
          <w:tcPr>
            <w:tcW w:w="899" w:type="pct"/>
            <w:gridSpan w:val="3"/>
            <w:tcBorders>
              <w:top w:val="single" w:sz="4" w:space="0" w:color="auto"/>
              <w:left w:val="nil"/>
              <w:bottom w:val="nil"/>
              <w:right w:val="single" w:sz="4" w:space="0" w:color="auto"/>
            </w:tcBorders>
            <w:shd w:val="clear" w:color="auto" w:fill="auto"/>
            <w:noWrap/>
            <w:vAlign w:val="center"/>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Currency risk</w:t>
            </w:r>
          </w:p>
        </w:tc>
        <w:tc>
          <w:tcPr>
            <w:tcW w:w="654"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1.1034</w:t>
            </w:r>
          </w:p>
        </w:tc>
        <w:tc>
          <w:tcPr>
            <w:tcW w:w="686"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0.0648</w:t>
            </w:r>
          </w:p>
        </w:tc>
        <w:tc>
          <w:tcPr>
            <w:tcW w:w="695"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94" w:type="pct"/>
            <w:tcBorders>
              <w:top w:val="single" w:sz="4" w:space="0" w:color="auto"/>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1.1436</w:t>
            </w:r>
          </w:p>
        </w:tc>
      </w:tr>
      <w:tr w:rsidR="00B81D0A" w:rsidRPr="007071EF" w:rsidTr="00B81D0A">
        <w:trPr>
          <w:trHeight w:val="300"/>
        </w:trPr>
        <w:tc>
          <w:tcPr>
            <w:tcW w:w="760" w:type="pct"/>
            <w:gridSpan w:val="2"/>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(3.5000***)</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(0.0900)</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both"/>
              <w:rPr>
                <w:rFonts w:ascii="Times New Roman" w:eastAsia="Times New Roman" w:hAnsi="Times New Roman" w:cs="Times New Roman"/>
                <w:color w:val="000000"/>
                <w:sz w:val="20"/>
                <w:szCs w:val="20"/>
              </w:rPr>
            </w:pP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(3.0300***)</w:t>
            </w:r>
          </w:p>
        </w:tc>
      </w:tr>
      <w:tr w:rsidR="00B81D0A" w:rsidRPr="007071EF" w:rsidTr="00B81D0A">
        <w:trPr>
          <w:trHeight w:val="80"/>
        </w:trPr>
        <w:tc>
          <w:tcPr>
            <w:tcW w:w="760" w:type="pct"/>
            <w:gridSpan w:val="2"/>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(0.9290)</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both"/>
              <w:rPr>
                <w:rFonts w:ascii="Times New Roman" w:eastAsia="Times New Roman" w:hAnsi="Times New Roman" w:cs="Times New Roman"/>
                <w:color w:val="000000"/>
                <w:sz w:val="20"/>
                <w:szCs w:val="20"/>
              </w:rPr>
            </w:pP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r>
      <w:tr w:rsidR="00B81D0A" w:rsidRPr="007071EF" w:rsidTr="00B81D0A">
        <w:trPr>
          <w:trHeight w:val="80"/>
        </w:trPr>
        <w:tc>
          <w:tcPr>
            <w:tcW w:w="760" w:type="pct"/>
            <w:gridSpan w:val="2"/>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13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54"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713"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86"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95"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94"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r>
      <w:tr w:rsidR="00B81D0A" w:rsidRPr="007071EF" w:rsidTr="00B81D0A">
        <w:trPr>
          <w:trHeight w:val="300"/>
        </w:trPr>
        <w:tc>
          <w:tcPr>
            <w:tcW w:w="760" w:type="pct"/>
            <w:gridSpan w:val="2"/>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xml:space="preserve">Wald chi </w:t>
            </w: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295.5300</w:t>
            </w:r>
          </w:p>
        </w:tc>
        <w:tc>
          <w:tcPr>
            <w:tcW w:w="713"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347.8500</w:t>
            </w:r>
          </w:p>
        </w:tc>
        <w:tc>
          <w:tcPr>
            <w:tcW w:w="686"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396.4300</w:t>
            </w:r>
          </w:p>
        </w:tc>
        <w:tc>
          <w:tcPr>
            <w:tcW w:w="659" w:type="pct"/>
            <w:tcBorders>
              <w:top w:val="single" w:sz="4" w:space="0" w:color="auto"/>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414.8700</w:t>
            </w:r>
          </w:p>
        </w:tc>
        <w:tc>
          <w:tcPr>
            <w:tcW w:w="695" w:type="pct"/>
            <w:tcBorders>
              <w:top w:val="single" w:sz="4" w:space="0" w:color="auto"/>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263.6300</w:t>
            </w:r>
          </w:p>
        </w:tc>
        <w:tc>
          <w:tcPr>
            <w:tcW w:w="694" w:type="pct"/>
            <w:tcBorders>
              <w:top w:val="single" w:sz="4" w:space="0" w:color="auto"/>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306.8700</w:t>
            </w:r>
          </w:p>
        </w:tc>
      </w:tr>
      <w:tr w:rsidR="00B81D0A" w:rsidRPr="007071EF" w:rsidTr="00B81D0A">
        <w:trPr>
          <w:trHeight w:val="300"/>
        </w:trPr>
        <w:tc>
          <w:tcPr>
            <w:tcW w:w="760" w:type="pct"/>
            <w:gridSpan w:val="2"/>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p-value</w:t>
            </w:r>
          </w:p>
        </w:tc>
        <w:tc>
          <w:tcPr>
            <w:tcW w:w="13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p>
        </w:tc>
        <w:tc>
          <w:tcPr>
            <w:tcW w:w="654"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713"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86"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59" w:type="pct"/>
            <w:tcBorders>
              <w:top w:val="nil"/>
              <w:left w:val="nil"/>
              <w:bottom w:val="nil"/>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95" w:type="pct"/>
            <w:tcBorders>
              <w:top w:val="nil"/>
              <w:left w:val="single" w:sz="4" w:space="0" w:color="auto"/>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c>
          <w:tcPr>
            <w:tcW w:w="694" w:type="pct"/>
            <w:tcBorders>
              <w:top w:val="nil"/>
              <w:left w:val="nil"/>
              <w:bottom w:val="nil"/>
              <w:right w:val="nil"/>
            </w:tcBorders>
            <w:shd w:val="clear" w:color="auto" w:fill="auto"/>
            <w:noWrap/>
            <w:vAlign w:val="bottom"/>
            <w:hideMark/>
          </w:tcPr>
          <w:p w:rsidR="00B81D0A" w:rsidRPr="007071EF" w:rsidRDefault="00B81D0A" w:rsidP="003D6DDA">
            <w:pPr>
              <w:tabs>
                <w:tab w:val="left" w:pos="810"/>
              </w:tabs>
              <w:spacing w:after="0" w:line="240" w:lineRule="auto"/>
              <w:jc w:val="right"/>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(0.0000***)</w:t>
            </w:r>
          </w:p>
        </w:tc>
      </w:tr>
      <w:tr w:rsidR="00B81D0A" w:rsidRPr="007071EF" w:rsidTr="00B81D0A">
        <w:trPr>
          <w:trHeight w:val="80"/>
        </w:trPr>
        <w:tc>
          <w:tcPr>
            <w:tcW w:w="760" w:type="pct"/>
            <w:gridSpan w:val="2"/>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13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54"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713"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86"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95" w:type="pct"/>
            <w:tcBorders>
              <w:top w:val="nil"/>
              <w:left w:val="single" w:sz="4" w:space="0" w:color="auto"/>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c>
          <w:tcPr>
            <w:tcW w:w="694" w:type="pct"/>
            <w:tcBorders>
              <w:top w:val="nil"/>
              <w:left w:val="nil"/>
              <w:bottom w:val="single" w:sz="4" w:space="0" w:color="auto"/>
              <w:right w:val="nil"/>
            </w:tcBorders>
            <w:shd w:val="clear" w:color="auto" w:fill="auto"/>
            <w:noWrap/>
            <w:vAlign w:val="bottom"/>
            <w:hideMark/>
          </w:tcPr>
          <w:p w:rsidR="00B81D0A" w:rsidRPr="007071EF" w:rsidRDefault="00B81D0A" w:rsidP="003D6DDA">
            <w:pPr>
              <w:tabs>
                <w:tab w:val="left" w:pos="810"/>
              </w:tabs>
              <w:spacing w:after="0" w:line="240" w:lineRule="auto"/>
              <w:rPr>
                <w:rFonts w:ascii="Times New Roman" w:eastAsia="Times New Roman" w:hAnsi="Times New Roman" w:cs="Times New Roman"/>
                <w:color w:val="000000"/>
                <w:sz w:val="20"/>
                <w:szCs w:val="20"/>
              </w:rPr>
            </w:pPr>
            <w:r w:rsidRPr="007071EF">
              <w:rPr>
                <w:rFonts w:ascii="Times New Roman" w:eastAsia="Times New Roman" w:hAnsi="Times New Roman" w:cs="Times New Roman"/>
                <w:color w:val="000000"/>
                <w:sz w:val="20"/>
                <w:szCs w:val="20"/>
              </w:rPr>
              <w:t> </w:t>
            </w:r>
          </w:p>
        </w:tc>
      </w:tr>
    </w:tbl>
    <w:p w:rsidR="00B81D0A" w:rsidRPr="003406EC" w:rsidRDefault="00B81D0A" w:rsidP="003D6DDA">
      <w:pPr>
        <w:tabs>
          <w:tab w:val="left" w:pos="810"/>
        </w:tabs>
        <w:spacing w:after="0" w:line="240" w:lineRule="auto"/>
        <w:jc w:val="both"/>
        <w:rPr>
          <w:rFonts w:ascii="Times New Roman" w:hAnsi="Times New Roman" w:cs="Times New Roman"/>
          <w:sz w:val="24"/>
          <w:szCs w:val="24"/>
        </w:rPr>
      </w:pPr>
      <w:r w:rsidRPr="003406EC">
        <w:rPr>
          <w:rFonts w:ascii="Times New Roman" w:hAnsi="Times New Roman" w:cs="Times New Roman"/>
          <w:sz w:val="24"/>
          <w:szCs w:val="24"/>
        </w:rPr>
        <w:t>Note: a =coefficients, b = t-statistics, c = p-values, significant at 0.01(*), 0.05(**), 0.001(***) level.</w:t>
      </w:r>
    </w:p>
    <w:p w:rsidR="00B81D0A" w:rsidRPr="003406EC" w:rsidRDefault="00B81D0A" w:rsidP="003D6DDA">
      <w:pPr>
        <w:spacing w:after="0" w:line="240" w:lineRule="auto"/>
        <w:jc w:val="both"/>
        <w:rPr>
          <w:rFonts w:ascii="Times New Roman" w:hAnsi="Times New Roman" w:cs="Times New Roman"/>
          <w:sz w:val="24"/>
          <w:szCs w:val="24"/>
        </w:rPr>
      </w:pPr>
    </w:p>
    <w:sectPr w:rsidR="00B81D0A" w:rsidRPr="003406EC" w:rsidSect="00320AAF">
      <w:footerReference w:type="default" r:id="rId1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645FE" w15:done="0"/>
  <w15:commentEx w15:paraId="39CB9757" w15:done="0"/>
  <w15:commentEx w15:paraId="5279BF1E" w15:done="0"/>
  <w15:commentEx w15:paraId="23A5CBED" w15:done="0"/>
  <w15:commentEx w15:paraId="2A8CF766" w15:done="0"/>
  <w15:commentEx w15:paraId="7CFBD5A6" w15:done="0"/>
  <w15:commentEx w15:paraId="64403A16" w15:done="0"/>
  <w15:commentEx w15:paraId="0F0156B4" w15:done="0"/>
  <w15:commentEx w15:paraId="4E3F0F11" w15:done="0"/>
  <w15:commentEx w15:paraId="6431CE4C" w15:done="0"/>
  <w15:commentEx w15:paraId="65C4329E" w15:done="0"/>
  <w15:commentEx w15:paraId="735CCBAE" w15:done="0"/>
  <w15:commentEx w15:paraId="49FEC932" w15:done="0"/>
  <w15:commentEx w15:paraId="4E796E16" w15:done="0"/>
  <w15:commentEx w15:paraId="2381238D" w15:done="0"/>
  <w15:commentEx w15:paraId="2C3D9EBB" w15:done="0"/>
  <w15:commentEx w15:paraId="52FF42D9" w15:done="0"/>
  <w15:commentEx w15:paraId="25B473A6" w15:done="0"/>
  <w15:commentEx w15:paraId="16C5619A" w15:done="0"/>
  <w15:commentEx w15:paraId="2D3E1090" w15:done="0"/>
  <w15:commentEx w15:paraId="410E1FF5" w15:done="0"/>
  <w15:commentEx w15:paraId="55ECC3F5" w15:done="0"/>
  <w15:commentEx w15:paraId="7726728E" w15:done="0"/>
  <w15:commentEx w15:paraId="1905A8A6" w15:done="0"/>
  <w15:commentEx w15:paraId="0923B3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87" w:rsidRDefault="00742D87" w:rsidP="004116D4">
      <w:pPr>
        <w:spacing w:after="0" w:line="240" w:lineRule="auto"/>
      </w:pPr>
      <w:r>
        <w:separator/>
      </w:r>
    </w:p>
  </w:endnote>
  <w:endnote w:type="continuationSeparator" w:id="0">
    <w:p w:rsidR="00742D87" w:rsidRDefault="00742D87" w:rsidP="0041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330805"/>
      <w:docPartObj>
        <w:docPartGallery w:val="Page Numbers (Bottom of Page)"/>
        <w:docPartUnique/>
      </w:docPartObj>
    </w:sdtPr>
    <w:sdtEndPr>
      <w:rPr>
        <w:noProof/>
      </w:rPr>
    </w:sdtEndPr>
    <w:sdtContent>
      <w:p w:rsidR="00A65E2C" w:rsidRDefault="00727F71">
        <w:pPr>
          <w:pStyle w:val="Footer"/>
          <w:jc w:val="center"/>
        </w:pPr>
        <w:r>
          <w:fldChar w:fldCharType="begin"/>
        </w:r>
        <w:r>
          <w:instrText xml:space="preserve"> PAGE   \* MERGEFORMAT </w:instrText>
        </w:r>
        <w:r>
          <w:fldChar w:fldCharType="separate"/>
        </w:r>
        <w:r w:rsidR="007D21DC">
          <w:rPr>
            <w:noProof/>
          </w:rPr>
          <w:t>1</w:t>
        </w:r>
        <w:r>
          <w:rPr>
            <w:noProof/>
          </w:rPr>
          <w:fldChar w:fldCharType="end"/>
        </w:r>
      </w:p>
    </w:sdtContent>
  </w:sdt>
  <w:p w:rsidR="00A65E2C" w:rsidRDefault="00A65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87" w:rsidRDefault="00742D87" w:rsidP="004116D4">
      <w:pPr>
        <w:spacing w:after="0" w:line="240" w:lineRule="auto"/>
      </w:pPr>
      <w:r>
        <w:separator/>
      </w:r>
    </w:p>
  </w:footnote>
  <w:footnote w:type="continuationSeparator" w:id="0">
    <w:p w:rsidR="00742D87" w:rsidRDefault="00742D87" w:rsidP="004116D4">
      <w:pPr>
        <w:spacing w:after="0" w:line="240" w:lineRule="auto"/>
      </w:pPr>
      <w:r>
        <w:continuationSeparator/>
      </w:r>
    </w:p>
  </w:footnote>
  <w:footnote w:id="1">
    <w:p w:rsidR="00A65E2C" w:rsidRDefault="00A65E2C" w:rsidP="004116D4">
      <w:pPr>
        <w:pStyle w:val="FootnoteText"/>
      </w:pPr>
      <w:r>
        <w:rPr>
          <w:rStyle w:val="FootnoteReference"/>
        </w:rPr>
        <w:footnoteRef/>
      </w:r>
      <w:r>
        <w:t xml:space="preserve"> </w:t>
      </w:r>
      <w:r w:rsidRPr="00963BBB">
        <w:rPr>
          <w:rFonts w:ascii="Times New Roman" w:hAnsi="Times New Roman" w:cs="Times New Roman"/>
        </w:rPr>
        <w:t xml:space="preserve">The importance of macroeconomic risk factors in explaining the cash ratio of high cash holding firms are hinted at in the fixed-effect regression, shown by the increase in the adjusted R-square in the results of fixed-effect regression from Model 1 to Model 2 after including macroeconomic risk </w:t>
      </w:r>
      <w:r w:rsidR="009E69E9">
        <w:rPr>
          <w:rFonts w:ascii="Times New Roman" w:hAnsi="Times New Roman" w:cs="Times New Roman"/>
        </w:rPr>
        <w:t>factors, it’s available upon required.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D24"/>
    <w:multiLevelType w:val="multilevel"/>
    <w:tmpl w:val="FB0ECE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F44361"/>
    <w:multiLevelType w:val="hybridMultilevel"/>
    <w:tmpl w:val="662E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62C8"/>
    <w:multiLevelType w:val="hybridMultilevel"/>
    <w:tmpl w:val="B1F0DE9C"/>
    <w:lvl w:ilvl="0" w:tplc="935CC708">
      <w:numFmt w:val="bullet"/>
      <w:lvlText w:val="-"/>
      <w:lvlJc w:val="left"/>
      <w:pPr>
        <w:ind w:left="1425" w:hanging="705"/>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B423EB"/>
    <w:multiLevelType w:val="multilevel"/>
    <w:tmpl w:val="FB0ECE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3B242A5"/>
    <w:multiLevelType w:val="hybridMultilevel"/>
    <w:tmpl w:val="890E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403D8"/>
    <w:multiLevelType w:val="hybridMultilevel"/>
    <w:tmpl w:val="C8DAD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A7CE5"/>
    <w:multiLevelType w:val="hybridMultilevel"/>
    <w:tmpl w:val="6EDA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770A7"/>
    <w:multiLevelType w:val="hybridMultilevel"/>
    <w:tmpl w:val="0450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B505A"/>
    <w:multiLevelType w:val="hybridMultilevel"/>
    <w:tmpl w:val="CB728226"/>
    <w:lvl w:ilvl="0" w:tplc="70EA4738">
      <w:start w:val="1"/>
      <w:numFmt w:val="bullet"/>
      <w:lvlText w:val=""/>
      <w:lvlJc w:val="left"/>
      <w:pPr>
        <w:tabs>
          <w:tab w:val="num" w:pos="720"/>
        </w:tabs>
        <w:ind w:left="720" w:hanging="360"/>
      </w:pPr>
      <w:rPr>
        <w:rFonts w:ascii="Wingdings 2" w:hAnsi="Wingdings 2" w:hint="default"/>
      </w:rPr>
    </w:lvl>
    <w:lvl w:ilvl="1" w:tplc="7E003BBC" w:tentative="1">
      <w:start w:val="1"/>
      <w:numFmt w:val="bullet"/>
      <w:lvlText w:val=""/>
      <w:lvlJc w:val="left"/>
      <w:pPr>
        <w:tabs>
          <w:tab w:val="num" w:pos="1440"/>
        </w:tabs>
        <w:ind w:left="1440" w:hanging="360"/>
      </w:pPr>
      <w:rPr>
        <w:rFonts w:ascii="Wingdings 2" w:hAnsi="Wingdings 2" w:hint="default"/>
      </w:rPr>
    </w:lvl>
    <w:lvl w:ilvl="2" w:tplc="01961ACA" w:tentative="1">
      <w:start w:val="1"/>
      <w:numFmt w:val="bullet"/>
      <w:lvlText w:val=""/>
      <w:lvlJc w:val="left"/>
      <w:pPr>
        <w:tabs>
          <w:tab w:val="num" w:pos="2160"/>
        </w:tabs>
        <w:ind w:left="2160" w:hanging="360"/>
      </w:pPr>
      <w:rPr>
        <w:rFonts w:ascii="Wingdings 2" w:hAnsi="Wingdings 2" w:hint="default"/>
      </w:rPr>
    </w:lvl>
    <w:lvl w:ilvl="3" w:tplc="0A663E68" w:tentative="1">
      <w:start w:val="1"/>
      <w:numFmt w:val="bullet"/>
      <w:lvlText w:val=""/>
      <w:lvlJc w:val="left"/>
      <w:pPr>
        <w:tabs>
          <w:tab w:val="num" w:pos="2880"/>
        </w:tabs>
        <w:ind w:left="2880" w:hanging="360"/>
      </w:pPr>
      <w:rPr>
        <w:rFonts w:ascii="Wingdings 2" w:hAnsi="Wingdings 2" w:hint="default"/>
      </w:rPr>
    </w:lvl>
    <w:lvl w:ilvl="4" w:tplc="92680D4C" w:tentative="1">
      <w:start w:val="1"/>
      <w:numFmt w:val="bullet"/>
      <w:lvlText w:val=""/>
      <w:lvlJc w:val="left"/>
      <w:pPr>
        <w:tabs>
          <w:tab w:val="num" w:pos="3600"/>
        </w:tabs>
        <w:ind w:left="3600" w:hanging="360"/>
      </w:pPr>
      <w:rPr>
        <w:rFonts w:ascii="Wingdings 2" w:hAnsi="Wingdings 2" w:hint="default"/>
      </w:rPr>
    </w:lvl>
    <w:lvl w:ilvl="5" w:tplc="9A5094C2" w:tentative="1">
      <w:start w:val="1"/>
      <w:numFmt w:val="bullet"/>
      <w:lvlText w:val=""/>
      <w:lvlJc w:val="left"/>
      <w:pPr>
        <w:tabs>
          <w:tab w:val="num" w:pos="4320"/>
        </w:tabs>
        <w:ind w:left="4320" w:hanging="360"/>
      </w:pPr>
      <w:rPr>
        <w:rFonts w:ascii="Wingdings 2" w:hAnsi="Wingdings 2" w:hint="default"/>
      </w:rPr>
    </w:lvl>
    <w:lvl w:ilvl="6" w:tplc="449C832E" w:tentative="1">
      <w:start w:val="1"/>
      <w:numFmt w:val="bullet"/>
      <w:lvlText w:val=""/>
      <w:lvlJc w:val="left"/>
      <w:pPr>
        <w:tabs>
          <w:tab w:val="num" w:pos="5040"/>
        </w:tabs>
        <w:ind w:left="5040" w:hanging="360"/>
      </w:pPr>
      <w:rPr>
        <w:rFonts w:ascii="Wingdings 2" w:hAnsi="Wingdings 2" w:hint="default"/>
      </w:rPr>
    </w:lvl>
    <w:lvl w:ilvl="7" w:tplc="E22E8852" w:tentative="1">
      <w:start w:val="1"/>
      <w:numFmt w:val="bullet"/>
      <w:lvlText w:val=""/>
      <w:lvlJc w:val="left"/>
      <w:pPr>
        <w:tabs>
          <w:tab w:val="num" w:pos="5760"/>
        </w:tabs>
        <w:ind w:left="5760" w:hanging="360"/>
      </w:pPr>
      <w:rPr>
        <w:rFonts w:ascii="Wingdings 2" w:hAnsi="Wingdings 2" w:hint="default"/>
      </w:rPr>
    </w:lvl>
    <w:lvl w:ilvl="8" w:tplc="327AE396" w:tentative="1">
      <w:start w:val="1"/>
      <w:numFmt w:val="bullet"/>
      <w:lvlText w:val=""/>
      <w:lvlJc w:val="left"/>
      <w:pPr>
        <w:tabs>
          <w:tab w:val="num" w:pos="6480"/>
        </w:tabs>
        <w:ind w:left="6480" w:hanging="360"/>
      </w:pPr>
      <w:rPr>
        <w:rFonts w:ascii="Wingdings 2" w:hAnsi="Wingdings 2" w:hint="default"/>
      </w:rPr>
    </w:lvl>
  </w:abstractNum>
  <w:abstractNum w:abstractNumId="9">
    <w:nsid w:val="27727316"/>
    <w:multiLevelType w:val="hybridMultilevel"/>
    <w:tmpl w:val="D7043790"/>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50A39"/>
    <w:multiLevelType w:val="hybridMultilevel"/>
    <w:tmpl w:val="EE4EBBEC"/>
    <w:lvl w:ilvl="0" w:tplc="DE609A4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4A15083"/>
    <w:multiLevelType w:val="hybridMultilevel"/>
    <w:tmpl w:val="131694C8"/>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97259"/>
    <w:multiLevelType w:val="hybridMultilevel"/>
    <w:tmpl w:val="56187356"/>
    <w:lvl w:ilvl="0" w:tplc="C3C4BAE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159E0"/>
    <w:multiLevelType w:val="multilevel"/>
    <w:tmpl w:val="6A0822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A772B6F"/>
    <w:multiLevelType w:val="hybridMultilevel"/>
    <w:tmpl w:val="E5EC36D6"/>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273D1"/>
    <w:multiLevelType w:val="hybridMultilevel"/>
    <w:tmpl w:val="B128F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77CC6"/>
    <w:multiLevelType w:val="hybridMultilevel"/>
    <w:tmpl w:val="1E4C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56960"/>
    <w:multiLevelType w:val="hybridMultilevel"/>
    <w:tmpl w:val="B890E598"/>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662B3"/>
    <w:multiLevelType w:val="hybridMultilevel"/>
    <w:tmpl w:val="7704532A"/>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27E8B"/>
    <w:multiLevelType w:val="hybridMultilevel"/>
    <w:tmpl w:val="3B9C3114"/>
    <w:lvl w:ilvl="0" w:tplc="C3C4BAE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B2407"/>
    <w:multiLevelType w:val="hybridMultilevel"/>
    <w:tmpl w:val="A170BCD6"/>
    <w:lvl w:ilvl="0" w:tplc="C3C4BAE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820FD"/>
    <w:multiLevelType w:val="hybridMultilevel"/>
    <w:tmpl w:val="83F244A6"/>
    <w:lvl w:ilvl="0" w:tplc="04090001">
      <w:start w:val="1"/>
      <w:numFmt w:val="bullet"/>
      <w:lvlText w:val=""/>
      <w:lvlJc w:val="left"/>
      <w:pPr>
        <w:ind w:left="720" w:hanging="360"/>
      </w:pPr>
      <w:rPr>
        <w:rFonts w:ascii="Symbol" w:hAnsi="Symbol" w:hint="default"/>
      </w:rPr>
    </w:lvl>
    <w:lvl w:ilvl="1" w:tplc="2412359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E18C2"/>
    <w:multiLevelType w:val="hybridMultilevel"/>
    <w:tmpl w:val="1A26893C"/>
    <w:lvl w:ilvl="0" w:tplc="4B42A074">
      <w:start w:val="1"/>
      <w:numFmt w:val="decimal"/>
      <w:lvlText w:val="%1)"/>
      <w:lvlJc w:val="left"/>
      <w:pPr>
        <w:ind w:left="644" w:hanging="360"/>
      </w:pPr>
      <w:rPr>
        <w:rFonts w:ascii="Times New Roman" w:hAnsi="Times New Roman" w:cs="Times New Roman" w:hint="default"/>
        <w:sz w:val="24"/>
        <w:szCs w:val="24"/>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23">
    <w:nsid w:val="628677DE"/>
    <w:multiLevelType w:val="hybridMultilevel"/>
    <w:tmpl w:val="B81CA548"/>
    <w:lvl w:ilvl="0" w:tplc="F3B85C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457CC"/>
    <w:multiLevelType w:val="multilevel"/>
    <w:tmpl w:val="C6505C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641013"/>
    <w:multiLevelType w:val="hybridMultilevel"/>
    <w:tmpl w:val="CEA6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E4087"/>
    <w:multiLevelType w:val="hybridMultilevel"/>
    <w:tmpl w:val="688AE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534045"/>
    <w:multiLevelType w:val="hybridMultilevel"/>
    <w:tmpl w:val="5A0C18BC"/>
    <w:lvl w:ilvl="0" w:tplc="59ACAF9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43582"/>
    <w:multiLevelType w:val="hybridMultilevel"/>
    <w:tmpl w:val="44D04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D1AB5"/>
    <w:multiLevelType w:val="hybridMultilevel"/>
    <w:tmpl w:val="25CECEBC"/>
    <w:lvl w:ilvl="0" w:tplc="3F8EAB88">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B717C"/>
    <w:multiLevelType w:val="hybridMultilevel"/>
    <w:tmpl w:val="D50E0692"/>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42CE1"/>
    <w:multiLevelType w:val="hybridMultilevel"/>
    <w:tmpl w:val="2DD8292C"/>
    <w:lvl w:ilvl="0" w:tplc="935CC708">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
  </w:num>
  <w:num w:numId="4">
    <w:abstractNumId w:val="29"/>
  </w:num>
  <w:num w:numId="5">
    <w:abstractNumId w:val="21"/>
  </w:num>
  <w:num w:numId="6">
    <w:abstractNumId w:val="6"/>
  </w:num>
  <w:num w:numId="7">
    <w:abstractNumId w:val="27"/>
  </w:num>
  <w:num w:numId="8">
    <w:abstractNumId w:val="12"/>
  </w:num>
  <w:num w:numId="9">
    <w:abstractNumId w:val="19"/>
  </w:num>
  <w:num w:numId="10">
    <w:abstractNumId w:val="20"/>
  </w:num>
  <w:num w:numId="11">
    <w:abstractNumId w:val="31"/>
  </w:num>
  <w:num w:numId="12">
    <w:abstractNumId w:val="2"/>
  </w:num>
  <w:num w:numId="13">
    <w:abstractNumId w:val="17"/>
  </w:num>
  <w:num w:numId="14">
    <w:abstractNumId w:val="14"/>
  </w:num>
  <w:num w:numId="15">
    <w:abstractNumId w:val="23"/>
  </w:num>
  <w:num w:numId="16">
    <w:abstractNumId w:val="18"/>
  </w:num>
  <w:num w:numId="17">
    <w:abstractNumId w:val="11"/>
  </w:num>
  <w:num w:numId="18">
    <w:abstractNumId w:val="7"/>
  </w:num>
  <w:num w:numId="19">
    <w:abstractNumId w:val="9"/>
  </w:num>
  <w:num w:numId="20">
    <w:abstractNumId w:val="25"/>
  </w:num>
  <w:num w:numId="21">
    <w:abstractNumId w:val="5"/>
  </w:num>
  <w:num w:numId="22">
    <w:abstractNumId w:val="15"/>
  </w:num>
  <w:num w:numId="23">
    <w:abstractNumId w:val="28"/>
  </w:num>
  <w:num w:numId="24">
    <w:abstractNumId w:val="24"/>
  </w:num>
  <w:num w:numId="25">
    <w:abstractNumId w:val="22"/>
  </w:num>
  <w:num w:numId="26">
    <w:abstractNumId w:val="16"/>
  </w:num>
  <w:num w:numId="27">
    <w:abstractNumId w:val="26"/>
  </w:num>
  <w:num w:numId="28">
    <w:abstractNumId w:val="10"/>
  </w:num>
  <w:num w:numId="29">
    <w:abstractNumId w:val="0"/>
  </w:num>
  <w:num w:numId="30">
    <w:abstractNumId w:val="4"/>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13"/>
    <w:rsid w:val="00063911"/>
    <w:rsid w:val="000E0023"/>
    <w:rsid w:val="001073BD"/>
    <w:rsid w:val="00180A10"/>
    <w:rsid w:val="00192B13"/>
    <w:rsid w:val="001B7449"/>
    <w:rsid w:val="001C3EB2"/>
    <w:rsid w:val="001E0017"/>
    <w:rsid w:val="0020221A"/>
    <w:rsid w:val="002363E1"/>
    <w:rsid w:val="002470ED"/>
    <w:rsid w:val="002D3CDC"/>
    <w:rsid w:val="00320AAF"/>
    <w:rsid w:val="003406EC"/>
    <w:rsid w:val="0037783B"/>
    <w:rsid w:val="00384923"/>
    <w:rsid w:val="003923E1"/>
    <w:rsid w:val="00392F17"/>
    <w:rsid w:val="00394292"/>
    <w:rsid w:val="003D6DDA"/>
    <w:rsid w:val="003D7B65"/>
    <w:rsid w:val="004116D4"/>
    <w:rsid w:val="00414D4E"/>
    <w:rsid w:val="004504AE"/>
    <w:rsid w:val="00482304"/>
    <w:rsid w:val="004D4E4C"/>
    <w:rsid w:val="00570472"/>
    <w:rsid w:val="005A5FCB"/>
    <w:rsid w:val="00625A84"/>
    <w:rsid w:val="006532F1"/>
    <w:rsid w:val="00667121"/>
    <w:rsid w:val="006E635A"/>
    <w:rsid w:val="007071EF"/>
    <w:rsid w:val="00721C8B"/>
    <w:rsid w:val="00727F71"/>
    <w:rsid w:val="00742D87"/>
    <w:rsid w:val="007724DA"/>
    <w:rsid w:val="00780DF3"/>
    <w:rsid w:val="007A7082"/>
    <w:rsid w:val="007D21DC"/>
    <w:rsid w:val="00816DCE"/>
    <w:rsid w:val="008A3D29"/>
    <w:rsid w:val="00937D6B"/>
    <w:rsid w:val="0096653B"/>
    <w:rsid w:val="00967D3D"/>
    <w:rsid w:val="009C27D7"/>
    <w:rsid w:val="009E57D2"/>
    <w:rsid w:val="009E69E9"/>
    <w:rsid w:val="009F7682"/>
    <w:rsid w:val="00A30033"/>
    <w:rsid w:val="00A65E2C"/>
    <w:rsid w:val="00B052D2"/>
    <w:rsid w:val="00B33312"/>
    <w:rsid w:val="00B56593"/>
    <w:rsid w:val="00B81D0A"/>
    <w:rsid w:val="00B96D54"/>
    <w:rsid w:val="00BC063B"/>
    <w:rsid w:val="00C34368"/>
    <w:rsid w:val="00C748A9"/>
    <w:rsid w:val="00CB1C01"/>
    <w:rsid w:val="00CC6BB4"/>
    <w:rsid w:val="00D0795B"/>
    <w:rsid w:val="00D177A9"/>
    <w:rsid w:val="00D54768"/>
    <w:rsid w:val="00D93256"/>
    <w:rsid w:val="00DD1785"/>
    <w:rsid w:val="00E51CDE"/>
    <w:rsid w:val="00E67992"/>
    <w:rsid w:val="00ED6597"/>
    <w:rsid w:val="00EF351B"/>
    <w:rsid w:val="00F05000"/>
    <w:rsid w:val="00F26416"/>
    <w:rsid w:val="00F56990"/>
    <w:rsid w:val="00F96120"/>
    <w:rsid w:val="00FC6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1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13"/>
    <w:pPr>
      <w:ind w:left="720"/>
      <w:contextualSpacing/>
    </w:pPr>
  </w:style>
  <w:style w:type="paragraph" w:styleId="NoSpacing">
    <w:name w:val="No Spacing"/>
    <w:uiPriority w:val="1"/>
    <w:qFormat/>
    <w:rsid w:val="004116D4"/>
    <w:pPr>
      <w:spacing w:after="0" w:line="240" w:lineRule="auto"/>
    </w:pPr>
  </w:style>
  <w:style w:type="paragraph" w:styleId="BalloonText">
    <w:name w:val="Balloon Text"/>
    <w:basedOn w:val="Normal"/>
    <w:link w:val="BalloonTextChar"/>
    <w:uiPriority w:val="99"/>
    <w:semiHidden/>
    <w:unhideWhenUsed/>
    <w:rsid w:val="0041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D4"/>
    <w:rPr>
      <w:rFonts w:ascii="Tahoma" w:hAnsi="Tahoma" w:cs="Tahoma"/>
      <w:sz w:val="16"/>
      <w:szCs w:val="16"/>
    </w:rPr>
  </w:style>
  <w:style w:type="character" w:customStyle="1" w:styleId="Heading3Char">
    <w:name w:val="Heading 3 Char"/>
    <w:basedOn w:val="DefaultParagraphFont"/>
    <w:link w:val="Heading3"/>
    <w:uiPriority w:val="9"/>
    <w:semiHidden/>
    <w:rsid w:val="004116D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116D4"/>
    <w:pPr>
      <w:spacing w:after="0" w:line="240" w:lineRule="auto"/>
    </w:pPr>
    <w:rPr>
      <w:sz w:val="20"/>
      <w:szCs w:val="20"/>
    </w:rPr>
  </w:style>
  <w:style w:type="character" w:customStyle="1" w:styleId="FootnoteTextChar">
    <w:name w:val="Footnote Text Char"/>
    <w:basedOn w:val="DefaultParagraphFont"/>
    <w:link w:val="FootnoteText"/>
    <w:uiPriority w:val="99"/>
    <w:rsid w:val="004116D4"/>
    <w:rPr>
      <w:sz w:val="20"/>
      <w:szCs w:val="20"/>
    </w:rPr>
  </w:style>
  <w:style w:type="character" w:styleId="FootnoteReference">
    <w:name w:val="footnote reference"/>
    <w:basedOn w:val="DefaultParagraphFont"/>
    <w:uiPriority w:val="99"/>
    <w:unhideWhenUsed/>
    <w:rsid w:val="004116D4"/>
    <w:rPr>
      <w:vertAlign w:val="superscript"/>
    </w:rPr>
  </w:style>
  <w:style w:type="character" w:styleId="Hyperlink">
    <w:name w:val="Hyperlink"/>
    <w:basedOn w:val="DefaultParagraphFont"/>
    <w:uiPriority w:val="99"/>
    <w:unhideWhenUsed/>
    <w:rsid w:val="004116D4"/>
    <w:rPr>
      <w:color w:val="0000FF" w:themeColor="hyperlink"/>
      <w:u w:val="single"/>
    </w:rPr>
  </w:style>
  <w:style w:type="character" w:customStyle="1" w:styleId="apple-converted-space">
    <w:name w:val="apple-converted-space"/>
    <w:basedOn w:val="DefaultParagraphFont"/>
    <w:rsid w:val="004116D4"/>
  </w:style>
  <w:style w:type="paragraph" w:styleId="Header">
    <w:name w:val="header"/>
    <w:basedOn w:val="Normal"/>
    <w:link w:val="HeaderChar"/>
    <w:uiPriority w:val="99"/>
    <w:unhideWhenUsed/>
    <w:rsid w:val="0041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4"/>
  </w:style>
  <w:style w:type="paragraph" w:styleId="Footer">
    <w:name w:val="footer"/>
    <w:basedOn w:val="Normal"/>
    <w:link w:val="FooterChar"/>
    <w:uiPriority w:val="99"/>
    <w:unhideWhenUsed/>
    <w:rsid w:val="0041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4"/>
  </w:style>
  <w:style w:type="character" w:customStyle="1" w:styleId="reference-accessdate">
    <w:name w:val="reference-accessdate"/>
    <w:basedOn w:val="DefaultParagraphFont"/>
    <w:rsid w:val="004116D4"/>
  </w:style>
  <w:style w:type="table" w:styleId="TableGrid">
    <w:name w:val="Table Grid"/>
    <w:basedOn w:val="TableNormal"/>
    <w:uiPriority w:val="59"/>
    <w:rsid w:val="0041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16D4"/>
    <w:rPr>
      <w:color w:val="808080"/>
    </w:rPr>
  </w:style>
  <w:style w:type="paragraph" w:styleId="Date">
    <w:name w:val="Date"/>
    <w:basedOn w:val="Normal"/>
    <w:next w:val="Normal"/>
    <w:link w:val="DateChar"/>
    <w:uiPriority w:val="99"/>
    <w:semiHidden/>
    <w:unhideWhenUsed/>
    <w:rsid w:val="004116D4"/>
  </w:style>
  <w:style w:type="character" w:customStyle="1" w:styleId="DateChar">
    <w:name w:val="Date Char"/>
    <w:basedOn w:val="DefaultParagraphFont"/>
    <w:link w:val="Date"/>
    <w:uiPriority w:val="99"/>
    <w:semiHidden/>
    <w:rsid w:val="004116D4"/>
  </w:style>
  <w:style w:type="character" w:styleId="Emphasis">
    <w:name w:val="Emphasis"/>
    <w:basedOn w:val="DefaultParagraphFont"/>
    <w:uiPriority w:val="20"/>
    <w:qFormat/>
    <w:rsid w:val="004116D4"/>
    <w:rPr>
      <w:i/>
      <w:iCs/>
    </w:rPr>
  </w:style>
  <w:style w:type="paragraph" w:styleId="Revision">
    <w:name w:val="Revision"/>
    <w:hidden/>
    <w:uiPriority w:val="99"/>
    <w:semiHidden/>
    <w:rsid w:val="004116D4"/>
    <w:pPr>
      <w:spacing w:after="0" w:line="240" w:lineRule="auto"/>
    </w:pPr>
  </w:style>
  <w:style w:type="character" w:styleId="CommentReference">
    <w:name w:val="annotation reference"/>
    <w:basedOn w:val="DefaultParagraphFont"/>
    <w:uiPriority w:val="99"/>
    <w:semiHidden/>
    <w:unhideWhenUsed/>
    <w:rsid w:val="007724DA"/>
    <w:rPr>
      <w:sz w:val="16"/>
      <w:szCs w:val="16"/>
    </w:rPr>
  </w:style>
  <w:style w:type="paragraph" w:styleId="CommentText">
    <w:name w:val="annotation text"/>
    <w:basedOn w:val="Normal"/>
    <w:link w:val="CommentTextChar"/>
    <w:uiPriority w:val="99"/>
    <w:semiHidden/>
    <w:unhideWhenUsed/>
    <w:rsid w:val="007724DA"/>
    <w:pPr>
      <w:spacing w:line="240" w:lineRule="auto"/>
    </w:pPr>
    <w:rPr>
      <w:sz w:val="20"/>
      <w:szCs w:val="20"/>
    </w:rPr>
  </w:style>
  <w:style w:type="character" w:customStyle="1" w:styleId="CommentTextChar">
    <w:name w:val="Comment Text Char"/>
    <w:basedOn w:val="DefaultParagraphFont"/>
    <w:link w:val="CommentText"/>
    <w:uiPriority w:val="99"/>
    <w:semiHidden/>
    <w:rsid w:val="007724DA"/>
    <w:rPr>
      <w:sz w:val="20"/>
      <w:szCs w:val="20"/>
    </w:rPr>
  </w:style>
  <w:style w:type="paragraph" w:styleId="CommentSubject">
    <w:name w:val="annotation subject"/>
    <w:basedOn w:val="CommentText"/>
    <w:next w:val="CommentText"/>
    <w:link w:val="CommentSubjectChar"/>
    <w:uiPriority w:val="99"/>
    <w:semiHidden/>
    <w:unhideWhenUsed/>
    <w:rsid w:val="007724DA"/>
    <w:rPr>
      <w:b/>
      <w:bCs/>
    </w:rPr>
  </w:style>
  <w:style w:type="character" w:customStyle="1" w:styleId="CommentSubjectChar">
    <w:name w:val="Comment Subject Char"/>
    <w:basedOn w:val="CommentTextChar"/>
    <w:link w:val="CommentSubject"/>
    <w:uiPriority w:val="99"/>
    <w:semiHidden/>
    <w:rsid w:val="007724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1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13"/>
    <w:pPr>
      <w:ind w:left="720"/>
      <w:contextualSpacing/>
    </w:pPr>
  </w:style>
  <w:style w:type="paragraph" w:styleId="NoSpacing">
    <w:name w:val="No Spacing"/>
    <w:uiPriority w:val="1"/>
    <w:qFormat/>
    <w:rsid w:val="004116D4"/>
    <w:pPr>
      <w:spacing w:after="0" w:line="240" w:lineRule="auto"/>
    </w:pPr>
  </w:style>
  <w:style w:type="paragraph" w:styleId="BalloonText">
    <w:name w:val="Balloon Text"/>
    <w:basedOn w:val="Normal"/>
    <w:link w:val="BalloonTextChar"/>
    <w:uiPriority w:val="99"/>
    <w:semiHidden/>
    <w:unhideWhenUsed/>
    <w:rsid w:val="0041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D4"/>
    <w:rPr>
      <w:rFonts w:ascii="Tahoma" w:hAnsi="Tahoma" w:cs="Tahoma"/>
      <w:sz w:val="16"/>
      <w:szCs w:val="16"/>
    </w:rPr>
  </w:style>
  <w:style w:type="character" w:customStyle="1" w:styleId="Heading3Char">
    <w:name w:val="Heading 3 Char"/>
    <w:basedOn w:val="DefaultParagraphFont"/>
    <w:link w:val="Heading3"/>
    <w:uiPriority w:val="9"/>
    <w:semiHidden/>
    <w:rsid w:val="004116D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116D4"/>
    <w:pPr>
      <w:spacing w:after="0" w:line="240" w:lineRule="auto"/>
    </w:pPr>
    <w:rPr>
      <w:sz w:val="20"/>
      <w:szCs w:val="20"/>
    </w:rPr>
  </w:style>
  <w:style w:type="character" w:customStyle="1" w:styleId="FootnoteTextChar">
    <w:name w:val="Footnote Text Char"/>
    <w:basedOn w:val="DefaultParagraphFont"/>
    <w:link w:val="FootnoteText"/>
    <w:uiPriority w:val="99"/>
    <w:rsid w:val="004116D4"/>
    <w:rPr>
      <w:sz w:val="20"/>
      <w:szCs w:val="20"/>
    </w:rPr>
  </w:style>
  <w:style w:type="character" w:styleId="FootnoteReference">
    <w:name w:val="footnote reference"/>
    <w:basedOn w:val="DefaultParagraphFont"/>
    <w:uiPriority w:val="99"/>
    <w:unhideWhenUsed/>
    <w:rsid w:val="004116D4"/>
    <w:rPr>
      <w:vertAlign w:val="superscript"/>
    </w:rPr>
  </w:style>
  <w:style w:type="character" w:styleId="Hyperlink">
    <w:name w:val="Hyperlink"/>
    <w:basedOn w:val="DefaultParagraphFont"/>
    <w:uiPriority w:val="99"/>
    <w:unhideWhenUsed/>
    <w:rsid w:val="004116D4"/>
    <w:rPr>
      <w:color w:val="0000FF" w:themeColor="hyperlink"/>
      <w:u w:val="single"/>
    </w:rPr>
  </w:style>
  <w:style w:type="character" w:customStyle="1" w:styleId="apple-converted-space">
    <w:name w:val="apple-converted-space"/>
    <w:basedOn w:val="DefaultParagraphFont"/>
    <w:rsid w:val="004116D4"/>
  </w:style>
  <w:style w:type="paragraph" w:styleId="Header">
    <w:name w:val="header"/>
    <w:basedOn w:val="Normal"/>
    <w:link w:val="HeaderChar"/>
    <w:uiPriority w:val="99"/>
    <w:unhideWhenUsed/>
    <w:rsid w:val="0041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4"/>
  </w:style>
  <w:style w:type="paragraph" w:styleId="Footer">
    <w:name w:val="footer"/>
    <w:basedOn w:val="Normal"/>
    <w:link w:val="FooterChar"/>
    <w:uiPriority w:val="99"/>
    <w:unhideWhenUsed/>
    <w:rsid w:val="0041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4"/>
  </w:style>
  <w:style w:type="character" w:customStyle="1" w:styleId="reference-accessdate">
    <w:name w:val="reference-accessdate"/>
    <w:basedOn w:val="DefaultParagraphFont"/>
    <w:rsid w:val="004116D4"/>
  </w:style>
  <w:style w:type="table" w:styleId="TableGrid">
    <w:name w:val="Table Grid"/>
    <w:basedOn w:val="TableNormal"/>
    <w:uiPriority w:val="59"/>
    <w:rsid w:val="0041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16D4"/>
    <w:rPr>
      <w:color w:val="808080"/>
    </w:rPr>
  </w:style>
  <w:style w:type="paragraph" w:styleId="Date">
    <w:name w:val="Date"/>
    <w:basedOn w:val="Normal"/>
    <w:next w:val="Normal"/>
    <w:link w:val="DateChar"/>
    <w:uiPriority w:val="99"/>
    <w:semiHidden/>
    <w:unhideWhenUsed/>
    <w:rsid w:val="004116D4"/>
  </w:style>
  <w:style w:type="character" w:customStyle="1" w:styleId="DateChar">
    <w:name w:val="Date Char"/>
    <w:basedOn w:val="DefaultParagraphFont"/>
    <w:link w:val="Date"/>
    <w:uiPriority w:val="99"/>
    <w:semiHidden/>
    <w:rsid w:val="004116D4"/>
  </w:style>
  <w:style w:type="character" w:styleId="Emphasis">
    <w:name w:val="Emphasis"/>
    <w:basedOn w:val="DefaultParagraphFont"/>
    <w:uiPriority w:val="20"/>
    <w:qFormat/>
    <w:rsid w:val="004116D4"/>
    <w:rPr>
      <w:i/>
      <w:iCs/>
    </w:rPr>
  </w:style>
  <w:style w:type="paragraph" w:styleId="Revision">
    <w:name w:val="Revision"/>
    <w:hidden/>
    <w:uiPriority w:val="99"/>
    <w:semiHidden/>
    <w:rsid w:val="004116D4"/>
    <w:pPr>
      <w:spacing w:after="0" w:line="240" w:lineRule="auto"/>
    </w:pPr>
  </w:style>
  <w:style w:type="character" w:styleId="CommentReference">
    <w:name w:val="annotation reference"/>
    <w:basedOn w:val="DefaultParagraphFont"/>
    <w:uiPriority w:val="99"/>
    <w:semiHidden/>
    <w:unhideWhenUsed/>
    <w:rsid w:val="007724DA"/>
    <w:rPr>
      <w:sz w:val="16"/>
      <w:szCs w:val="16"/>
    </w:rPr>
  </w:style>
  <w:style w:type="paragraph" w:styleId="CommentText">
    <w:name w:val="annotation text"/>
    <w:basedOn w:val="Normal"/>
    <w:link w:val="CommentTextChar"/>
    <w:uiPriority w:val="99"/>
    <w:semiHidden/>
    <w:unhideWhenUsed/>
    <w:rsid w:val="007724DA"/>
    <w:pPr>
      <w:spacing w:line="240" w:lineRule="auto"/>
    </w:pPr>
    <w:rPr>
      <w:sz w:val="20"/>
      <w:szCs w:val="20"/>
    </w:rPr>
  </w:style>
  <w:style w:type="character" w:customStyle="1" w:styleId="CommentTextChar">
    <w:name w:val="Comment Text Char"/>
    <w:basedOn w:val="DefaultParagraphFont"/>
    <w:link w:val="CommentText"/>
    <w:uiPriority w:val="99"/>
    <w:semiHidden/>
    <w:rsid w:val="007724DA"/>
    <w:rPr>
      <w:sz w:val="20"/>
      <w:szCs w:val="20"/>
    </w:rPr>
  </w:style>
  <w:style w:type="paragraph" w:styleId="CommentSubject">
    <w:name w:val="annotation subject"/>
    <w:basedOn w:val="CommentText"/>
    <w:next w:val="CommentText"/>
    <w:link w:val="CommentSubjectChar"/>
    <w:uiPriority w:val="99"/>
    <w:semiHidden/>
    <w:unhideWhenUsed/>
    <w:rsid w:val="007724DA"/>
    <w:rPr>
      <w:b/>
      <w:bCs/>
    </w:rPr>
  </w:style>
  <w:style w:type="character" w:customStyle="1" w:styleId="CommentSubjectChar">
    <w:name w:val="Comment Subject Char"/>
    <w:basedOn w:val="CommentTextChar"/>
    <w:link w:val="CommentSubject"/>
    <w:uiPriority w:val="99"/>
    <w:semiHidden/>
    <w:rsid w:val="00772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64374">
      <w:bodyDiv w:val="1"/>
      <w:marLeft w:val="0"/>
      <w:marRight w:val="0"/>
      <w:marTop w:val="0"/>
      <w:marBottom w:val="0"/>
      <w:divBdr>
        <w:top w:val="none" w:sz="0" w:space="0" w:color="auto"/>
        <w:left w:val="none" w:sz="0" w:space="0" w:color="auto"/>
        <w:bottom w:val="none" w:sz="0" w:space="0" w:color="auto"/>
        <w:right w:val="none" w:sz="0" w:space="0" w:color="auto"/>
      </w:divBdr>
    </w:div>
    <w:div w:id="627051220">
      <w:bodyDiv w:val="1"/>
      <w:marLeft w:val="0"/>
      <w:marRight w:val="0"/>
      <w:marTop w:val="0"/>
      <w:marBottom w:val="0"/>
      <w:divBdr>
        <w:top w:val="none" w:sz="0" w:space="0" w:color="auto"/>
        <w:left w:val="none" w:sz="0" w:space="0" w:color="auto"/>
        <w:bottom w:val="none" w:sz="0" w:space="0" w:color="auto"/>
        <w:right w:val="none" w:sz="0" w:space="0" w:color="auto"/>
      </w:divBdr>
    </w:div>
    <w:div w:id="920676757">
      <w:bodyDiv w:val="1"/>
      <w:marLeft w:val="0"/>
      <w:marRight w:val="0"/>
      <w:marTop w:val="0"/>
      <w:marBottom w:val="0"/>
      <w:divBdr>
        <w:top w:val="none" w:sz="0" w:space="0" w:color="auto"/>
        <w:left w:val="none" w:sz="0" w:space="0" w:color="auto"/>
        <w:bottom w:val="none" w:sz="0" w:space="0" w:color="auto"/>
        <w:right w:val="none" w:sz="0" w:space="0" w:color="auto"/>
      </w:divBdr>
    </w:div>
    <w:div w:id="1645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3A46-CA4C-4606-BE51-5B667CFB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6696</Words>
  <Characters>38171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PCX-25</dc:creator>
  <cp:lastModifiedBy> </cp:lastModifiedBy>
  <cp:revision>8</cp:revision>
  <dcterms:created xsi:type="dcterms:W3CDTF">2015-06-12T09:45:00Z</dcterms:created>
  <dcterms:modified xsi:type="dcterms:W3CDTF">2015-10-29T07:02:00Z</dcterms:modified>
</cp:coreProperties>
</file>